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9339DE">
        <w:trPr>
          <w:trHeight w:val="1295"/>
        </w:trPr>
        <w:tc>
          <w:tcPr>
            <w:tcW w:w="5395" w:type="dxa"/>
            <w:gridSpan w:val="3"/>
          </w:tcPr>
          <w:p w:rsidR="000441AC" w:rsidRDefault="000441AC">
            <w:pPr>
              <w:rPr>
                <w:rFonts w:ascii="Arial" w:hAnsi="Arial" w:cs="Arial"/>
                <w:b/>
              </w:rPr>
            </w:pPr>
            <w:r w:rsidRPr="000441AC">
              <w:rPr>
                <w:rFonts w:ascii="Arial" w:hAnsi="Arial" w:cs="Arial"/>
                <w:b/>
              </w:rPr>
              <w:t>Learning Target(s):</w:t>
            </w:r>
          </w:p>
          <w:p w:rsidR="000C0C1F" w:rsidRPr="00503371" w:rsidRDefault="009C3567" w:rsidP="009C3567">
            <w:pPr>
              <w:pStyle w:val="ListParagraph"/>
              <w:numPr>
                <w:ilvl w:val="0"/>
                <w:numId w:val="14"/>
              </w:numPr>
              <w:ind w:left="330"/>
              <w:rPr>
                <w:rFonts w:cstheme="minorHAnsi"/>
                <w:b/>
              </w:rPr>
            </w:pPr>
            <w:r w:rsidRPr="009C3567">
              <w:rPr>
                <w:rFonts w:cstheme="minorHAnsi"/>
                <w:color w:val="000000"/>
                <w:shd w:val="clear" w:color="auto" w:fill="FFFFFF"/>
              </w:rPr>
              <w:t>Analyze linear, quadratic and exponential functions using different representations</w:t>
            </w:r>
            <w:r w:rsidR="00EB5D9D" w:rsidRPr="00503371">
              <w:rPr>
                <w:rFonts w:cstheme="minorHAnsi"/>
                <w:color w:val="000000"/>
                <w:shd w:val="clear" w:color="auto" w:fill="FFFFFF"/>
              </w:rPr>
              <w:t>.</w:t>
            </w:r>
          </w:p>
          <w:p w:rsidR="009C3567" w:rsidRPr="009C3567" w:rsidRDefault="009C3567" w:rsidP="00C91876">
            <w:pPr>
              <w:pStyle w:val="ListParagraph"/>
              <w:numPr>
                <w:ilvl w:val="0"/>
                <w:numId w:val="3"/>
              </w:numPr>
              <w:ind w:left="330"/>
              <w:rPr>
                <w:rFonts w:ascii="Arial" w:hAnsi="Arial" w:cs="Arial"/>
                <w:b/>
              </w:rPr>
            </w:pPr>
            <w:r w:rsidRPr="009C3567">
              <w:rPr>
                <w:rFonts w:cstheme="minorHAnsi"/>
                <w:color w:val="000000"/>
                <w:shd w:val="clear" w:color="auto" w:fill="FFFFFF"/>
              </w:rPr>
              <w:t xml:space="preserve">I can graph functions expressed symbolically and identify and interpret key features of the graph. </w:t>
            </w:r>
          </w:p>
          <w:p w:rsidR="00CF65CB" w:rsidRPr="00CF65CB" w:rsidRDefault="009C3567" w:rsidP="00C91876">
            <w:pPr>
              <w:pStyle w:val="ListParagraph"/>
              <w:numPr>
                <w:ilvl w:val="0"/>
                <w:numId w:val="3"/>
              </w:numPr>
              <w:ind w:left="330"/>
              <w:rPr>
                <w:rFonts w:ascii="Arial" w:hAnsi="Arial" w:cs="Arial"/>
                <w:b/>
              </w:rPr>
            </w:pPr>
            <w:r w:rsidRPr="009C3567">
              <w:rPr>
                <w:rFonts w:cstheme="minorHAnsi"/>
                <w:color w:val="000000"/>
                <w:shd w:val="clear" w:color="auto" w:fill="FFFFFF"/>
              </w:rPr>
              <w:t>I can translate between different but equivalent forms of a function to reveal and explain properties of the function and interpret these in terms of a context.</w:t>
            </w:r>
          </w:p>
          <w:p w:rsidR="00C91876" w:rsidRPr="00CF65CB" w:rsidRDefault="009C3567" w:rsidP="00C91876">
            <w:pPr>
              <w:pStyle w:val="ListParagraph"/>
              <w:numPr>
                <w:ilvl w:val="0"/>
                <w:numId w:val="3"/>
              </w:numPr>
              <w:ind w:left="330"/>
              <w:rPr>
                <w:rFonts w:ascii="Arial" w:hAnsi="Arial" w:cs="Arial"/>
                <w:b/>
              </w:rPr>
            </w:pPr>
            <w:r w:rsidRPr="009C3567">
              <w:rPr>
                <w:rFonts w:cstheme="minorHAnsi"/>
                <w:color w:val="000000"/>
                <w:shd w:val="clear" w:color="auto" w:fill="FFFFFF"/>
              </w:rPr>
              <w:t xml:space="preserve">I can compare the properties of two functions </w:t>
            </w:r>
            <w:r>
              <w:rPr>
                <w:rFonts w:cstheme="minorHAnsi"/>
                <w:color w:val="000000"/>
                <w:shd w:val="clear" w:color="auto" w:fill="FFFFFF"/>
              </w:rPr>
              <w:t>given different representations</w:t>
            </w:r>
            <w:r w:rsidR="009339DE" w:rsidRPr="009339DE">
              <w:rPr>
                <w:rFonts w:cstheme="minorHAnsi"/>
                <w:color w:val="000000"/>
                <w:shd w:val="clear" w:color="auto" w:fill="FFFFFF"/>
              </w:rPr>
              <w:t>.</w:t>
            </w:r>
          </w:p>
          <w:p w:rsidR="00CF65CB" w:rsidRPr="00C91876" w:rsidRDefault="00CF65CB" w:rsidP="00CF65CB">
            <w:pPr>
              <w:pStyle w:val="ListParagraph"/>
              <w:ind w:left="330"/>
              <w:rPr>
                <w:rFonts w:ascii="Arial" w:hAnsi="Arial" w:cs="Arial"/>
                <w:b/>
              </w:rPr>
            </w:pP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522D17" w:rsidP="003713E2">
            <w:pPr>
              <w:pStyle w:val="ListParagraph"/>
              <w:numPr>
                <w:ilvl w:val="0"/>
                <w:numId w:val="3"/>
              </w:numPr>
              <w:ind w:left="346"/>
              <w:rPr>
                <w:rFonts w:cstheme="minorHAnsi"/>
              </w:rPr>
            </w:pPr>
            <w:r>
              <w:rPr>
                <w:rFonts w:cstheme="minorHAnsi"/>
              </w:rPr>
              <w:t xml:space="preserve">1 </w:t>
            </w:r>
            <w:r w:rsidR="003713E2">
              <w:rPr>
                <w:rFonts w:cstheme="minorHAnsi"/>
              </w:rPr>
              <w:t>Day</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 xml:space="preserve">Understand how to investigate </w:t>
            </w:r>
            <w:r w:rsidR="008520E5">
              <w:rPr>
                <w:rFonts w:eastAsia="Times New Roman" w:cstheme="minorHAnsi"/>
                <w:color w:val="000000"/>
              </w:rPr>
              <w:t xml:space="preserve">an algebraic </w:t>
            </w:r>
            <w:r w:rsidR="009E5817">
              <w:rPr>
                <w:rFonts w:eastAsia="Times New Roman" w:cstheme="minorHAnsi"/>
                <w:color w:val="000000"/>
              </w:rPr>
              <w:t>problem</w:t>
            </w:r>
            <w:r w:rsidRPr="008C1319">
              <w:rPr>
                <w:rFonts w:eastAsia="Times New Roman" w:cstheme="minorHAnsi"/>
                <w:color w:val="000000"/>
              </w:rPr>
              <w:t>.</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9E5817" w:rsidP="008C1319">
            <w:pPr>
              <w:numPr>
                <w:ilvl w:val="0"/>
                <w:numId w:val="1"/>
              </w:numPr>
              <w:shd w:val="clear" w:color="auto" w:fill="FFFFFF"/>
              <w:spacing w:before="48" w:after="120"/>
              <w:ind w:right="240"/>
              <w:rPr>
                <w:rFonts w:eastAsia="Times New Roman" w:cstheme="minorHAnsi"/>
                <w:color w:val="000000"/>
              </w:rPr>
            </w:pPr>
            <w:r>
              <w:rPr>
                <w:rFonts w:eastAsia="Times New Roman" w:cstheme="minorHAnsi"/>
                <w:color w:val="000000"/>
              </w:rPr>
              <w:t>Investigate a</w:t>
            </w:r>
            <w:r w:rsidR="008520E5">
              <w:rPr>
                <w:rFonts w:eastAsia="Times New Roman" w:cstheme="minorHAnsi"/>
                <w:color w:val="000000"/>
              </w:rPr>
              <w:t>n</w:t>
            </w:r>
            <w:r w:rsidR="000032A4">
              <w:rPr>
                <w:rFonts w:eastAsia="Times New Roman" w:cstheme="minorHAnsi"/>
                <w:color w:val="000000"/>
              </w:rPr>
              <w:t xml:space="preserve"> </w:t>
            </w:r>
            <w:r w:rsidR="008520E5">
              <w:rPr>
                <w:rFonts w:eastAsia="Times New Roman" w:cstheme="minorHAnsi"/>
                <w:color w:val="000000"/>
              </w:rPr>
              <w:t>algebraic</w:t>
            </w:r>
            <w:r>
              <w:rPr>
                <w:rFonts w:eastAsia="Times New Roman" w:cstheme="minorHAnsi"/>
                <w:color w:val="000000"/>
              </w:rPr>
              <w:t xml:space="preserve"> problem</w:t>
            </w:r>
            <w:r w:rsidR="008C1319" w:rsidRPr="008C1319">
              <w:rPr>
                <w:rFonts w:eastAsia="Times New Roman" w:cstheme="minorHAnsi"/>
                <w:color w:val="000000"/>
              </w:rPr>
              <w:t>.</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CB2743" w:rsidRDefault="00CB2743">
            <w:pPr>
              <w:rPr>
                <w:rFonts w:ascii="Arial" w:hAnsi="Arial" w:cs="Arial"/>
                <w:b/>
              </w:rPr>
            </w:pPr>
            <w:r w:rsidRPr="00BE56A2">
              <w:rPr>
                <w:rFonts w:ascii="Arial" w:hAnsi="Arial" w:cs="Arial"/>
                <w:b/>
              </w:rPr>
              <w:t>Suggested Activity:</w:t>
            </w:r>
          </w:p>
          <w:p w:rsidR="000D4C8C" w:rsidRDefault="00BE503C" w:rsidP="000D4C8C">
            <w:pPr>
              <w:autoSpaceDE w:val="0"/>
              <w:autoSpaceDN w:val="0"/>
              <w:adjustRightInd w:val="0"/>
            </w:pPr>
            <w:r>
              <w:t>This task challenges a student to use knowledge of equations to match tables, verbal descriptions, and </w:t>
            </w:r>
          </w:p>
          <w:p w:rsidR="000D4C8C" w:rsidRDefault="00BE503C" w:rsidP="000D4C8C">
            <w:pPr>
              <w:autoSpaceDE w:val="0"/>
              <w:autoSpaceDN w:val="0"/>
              <w:adjustRightInd w:val="0"/>
            </w:pPr>
            <w:r>
              <w:t>tables to equations. A student must be able to work with graphical representations of linear, quadratic, </w:t>
            </w:r>
          </w:p>
          <w:p w:rsidR="000D4C8C" w:rsidRDefault="00BE503C" w:rsidP="000D4C8C">
            <w:pPr>
              <w:autoSpaceDE w:val="0"/>
              <w:autoSpaceDN w:val="0"/>
              <w:adjustRightInd w:val="0"/>
            </w:pPr>
            <w:r>
              <w:t>inverse relations, and exponential equations to find all the matches. A student must be able to identify key</w:t>
            </w:r>
          </w:p>
          <w:p w:rsidR="00BE503C" w:rsidRDefault="00BE503C" w:rsidP="000D4C8C">
            <w:pPr>
              <w:autoSpaceDE w:val="0"/>
              <w:autoSpaceDN w:val="0"/>
              <w:adjustRightInd w:val="0"/>
            </w:pPr>
            <w:r>
              <w:t xml:space="preserve">features in similar tables to distinguish between them. </w:t>
            </w:r>
          </w:p>
          <w:p w:rsidR="009C3567" w:rsidRDefault="009D5AFC" w:rsidP="000D4C8C">
            <w:pPr>
              <w:autoSpaceDE w:val="0"/>
              <w:autoSpaceDN w:val="0"/>
              <w:adjustRightInd w:val="0"/>
              <w:spacing w:before="240"/>
            </w:pPr>
            <w:r>
              <w:t xml:space="preserve">Students should be able to understand the relationship between equations, graphs, rules, and tables. Students should know a variety of ways to check these relationships. Lessons should regularly focus on relating multiple representations of the same idea. It is important that algebraic ideas not be taught in isolated skill sets. </w:t>
            </w:r>
          </w:p>
          <w:p w:rsidR="009D5AFC" w:rsidRDefault="009D5AFC" w:rsidP="00FA3F5C">
            <w:pPr>
              <w:autoSpaceDE w:val="0"/>
              <w:autoSpaceDN w:val="0"/>
              <w:adjustRightInd w:val="0"/>
              <w:spacing w:before="240"/>
            </w:pPr>
            <w:r>
              <w:lastRenderedPageBreak/>
              <w:t>Consider this quote from Fostering Algebra</w:t>
            </w:r>
            <w:r w:rsidR="009C3567">
              <w:t xml:space="preserve">ic Thinking by Mark Driscoll, </w:t>
            </w:r>
            <w:r w:rsidR="009C3567" w:rsidRPr="009C3567">
              <w:rPr>
                <w:i/>
              </w:rPr>
              <w:t>“</w:t>
            </w:r>
            <w:r w:rsidRPr="009C3567">
              <w:rPr>
                <w:i/>
              </w:rPr>
              <w:t>One defining feature of algebra is that it “introduces one to a set of tools – tables, graphs, formulas, equations, arrays, identities, functional relations, and so on – that constitute a substantial technology that can be used to discover and invent things. To master the use of these tools, learners must first understand the associated representations and how to line them together. A fluency in linking and translating among multiple represent</w:t>
            </w:r>
            <w:r w:rsidR="007C6CA4">
              <w:rPr>
                <w:i/>
              </w:rPr>
              <w:t>ations</w:t>
            </w:r>
            <w:r w:rsidRPr="009C3567">
              <w:rPr>
                <w:i/>
              </w:rPr>
              <w:t xml:space="preserve"> seems to be critical in the development of algebraic thinking. The learner who can, for a particular mathematical problem, move fluidly among different mathematical representations has access to a perspective on the mathematics in the problem that is greater than the perspective any one representation can provide.”</w:t>
            </w:r>
          </w:p>
          <w:p w:rsidR="006D43BE" w:rsidRPr="00A72546" w:rsidRDefault="00FA3F5C" w:rsidP="00FA3F5C">
            <w:pPr>
              <w:autoSpaceDE w:val="0"/>
              <w:autoSpaceDN w:val="0"/>
              <w:adjustRightInd w:val="0"/>
              <w:spacing w:before="240"/>
              <w:rPr>
                <w:rFonts w:cstheme="minorHAnsi"/>
              </w:rPr>
            </w:pPr>
            <w:r w:rsidRPr="00A72546">
              <w:rPr>
                <w:rFonts w:cstheme="minorHAnsi"/>
              </w:rPr>
              <w:t xml:space="preserve"> </w:t>
            </w:r>
            <w:r w:rsidR="006D43BE" w:rsidRPr="00A72546">
              <w:rPr>
                <w:rFonts w:cstheme="minorHAnsi"/>
              </w:rPr>
              <w:t xml:space="preserve">Activity Link: </w:t>
            </w:r>
            <w:hyperlink r:id="rId7" w:history="1">
              <w:r w:rsidR="009C3567">
                <w:rPr>
                  <w:rStyle w:val="Hyperlink"/>
                </w:rPr>
                <w:t>https://www.insidemathematics.org/sites/default/files/materials/sorting%20functions_6.pdf</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F416C6">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397198" w:rsidRDefault="00397198" w:rsidP="00397198">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397198" w:rsidRPr="00397198" w:rsidRDefault="00397198" w:rsidP="00397198">
            <w:pPr>
              <w:pStyle w:val="ListParagraph"/>
              <w:numPr>
                <w:ilvl w:val="0"/>
                <w:numId w:val="11"/>
              </w:numPr>
              <w:ind w:left="330"/>
              <w:rPr>
                <w:rFonts w:cstheme="minorHAnsi"/>
              </w:rPr>
            </w:pPr>
            <w:r>
              <w:rPr>
                <w:rFonts w:ascii="Calibri" w:hAnsi="Calibri" w:cs="Calibri"/>
              </w:rPr>
              <w:t>Provide a vocabulary list.</w:t>
            </w:r>
          </w:p>
          <w:p w:rsidR="00D938B7" w:rsidRDefault="00D938B7" w:rsidP="00397198">
            <w:pPr>
              <w:pStyle w:val="ListParagraph"/>
              <w:numPr>
                <w:ilvl w:val="0"/>
                <w:numId w:val="11"/>
              </w:numPr>
              <w:ind w:left="330"/>
              <w:rPr>
                <w:rFonts w:cstheme="minorHAnsi"/>
              </w:rPr>
            </w:pPr>
            <w:r>
              <w:rPr>
                <w:rFonts w:cstheme="minorHAnsi"/>
              </w:rPr>
              <w:t>Peer support</w:t>
            </w:r>
            <w:r w:rsidR="00397198">
              <w:rPr>
                <w:rFonts w:cstheme="minorHAnsi"/>
              </w:rPr>
              <w:t>.</w:t>
            </w:r>
          </w:p>
          <w:p w:rsidR="00D938B7" w:rsidRDefault="00D938B7" w:rsidP="00397198">
            <w:pPr>
              <w:pStyle w:val="ListParagraph"/>
              <w:numPr>
                <w:ilvl w:val="0"/>
                <w:numId w:val="11"/>
              </w:numPr>
              <w:ind w:left="330"/>
              <w:rPr>
                <w:rFonts w:cstheme="minorHAnsi"/>
              </w:rPr>
            </w:pPr>
            <w:r>
              <w:rPr>
                <w:rFonts w:cstheme="minorHAnsi"/>
              </w:rPr>
              <w:t>Discourse strategies</w:t>
            </w:r>
            <w:r w:rsidR="00397198">
              <w:rPr>
                <w:rFonts w:cstheme="minorHAnsi"/>
              </w:rPr>
              <w:t>.</w:t>
            </w:r>
          </w:p>
          <w:p w:rsidR="00A82988" w:rsidRPr="00D938B7" w:rsidRDefault="00D938B7" w:rsidP="00397198">
            <w:pPr>
              <w:pStyle w:val="ListParagraph"/>
              <w:numPr>
                <w:ilvl w:val="0"/>
                <w:numId w:val="11"/>
              </w:numPr>
              <w:spacing w:after="160"/>
              <w:ind w:left="330"/>
              <w:rPr>
                <w:rFonts w:cstheme="minorHAnsi"/>
              </w:rPr>
            </w:pPr>
            <w:r w:rsidRPr="0038668C">
              <w:rPr>
                <w:rFonts w:cstheme="minorHAnsi"/>
              </w:rPr>
              <w:lastRenderedPageBreak/>
              <w:t>Reading and writing prompts</w:t>
            </w:r>
            <w:r w:rsidR="00397198">
              <w:rPr>
                <w:rFonts w:cstheme="minorHAnsi"/>
              </w:rPr>
              <w:t>.</w:t>
            </w:r>
          </w:p>
        </w:tc>
      </w:tr>
      <w:tr w:rsidR="00CB2743" w:rsidRPr="00A82988" w:rsidTr="00A82988">
        <w:tc>
          <w:tcPr>
            <w:tcW w:w="3595" w:type="dxa"/>
          </w:tcPr>
          <w:p w:rsidR="00010A25" w:rsidRPr="00522D17" w:rsidRDefault="00CB2743" w:rsidP="00522D17">
            <w:pPr>
              <w:rPr>
                <w:rFonts w:ascii="Arial" w:hAnsi="Arial" w:cs="Arial"/>
              </w:rPr>
            </w:pPr>
            <w:r w:rsidRPr="00951DB4">
              <w:rPr>
                <w:rFonts w:ascii="Arial" w:hAnsi="Arial" w:cs="Arial"/>
                <w:b/>
              </w:rPr>
              <w:lastRenderedPageBreak/>
              <w:t>Vocabulary</w:t>
            </w:r>
            <w:r w:rsidR="00A82988" w:rsidRPr="00951DB4">
              <w:rPr>
                <w:rFonts w:ascii="Arial" w:hAnsi="Arial" w:cs="Arial"/>
                <w:b/>
              </w:rPr>
              <w:t>:</w:t>
            </w:r>
          </w:p>
          <w:p w:rsidR="00010A25" w:rsidRPr="009A7DF6"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Linear</w:t>
            </w:r>
          </w:p>
          <w:p w:rsidR="009A7DF6" w:rsidRPr="00951DB4" w:rsidRDefault="009A7DF6" w:rsidP="00010A25">
            <w:pPr>
              <w:pStyle w:val="ListParagraph"/>
              <w:numPr>
                <w:ilvl w:val="0"/>
                <w:numId w:val="6"/>
              </w:numPr>
              <w:ind w:left="330"/>
              <w:rPr>
                <w:rFonts w:cstheme="minorHAnsi"/>
                <w:b/>
              </w:rPr>
            </w:pPr>
            <w:r>
              <w:rPr>
                <w:rFonts w:cstheme="minorHAnsi"/>
                <w:color w:val="000000"/>
                <w:shd w:val="clear" w:color="auto" w:fill="FFFFFF"/>
              </w:rPr>
              <w:t>Quadratic</w:t>
            </w:r>
          </w:p>
          <w:p w:rsidR="00A82988" w:rsidRPr="00522D17"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p w:rsidR="00522D17" w:rsidRPr="009339DE" w:rsidRDefault="00522D17" w:rsidP="00951DB4">
            <w:pPr>
              <w:pStyle w:val="ListParagraph"/>
              <w:numPr>
                <w:ilvl w:val="0"/>
                <w:numId w:val="6"/>
              </w:numPr>
              <w:spacing w:after="160"/>
              <w:ind w:left="330"/>
              <w:rPr>
                <w:rFonts w:cstheme="minorHAnsi"/>
                <w:b/>
              </w:rPr>
            </w:pPr>
            <w:r>
              <w:rPr>
                <w:rFonts w:cstheme="minorHAnsi"/>
                <w:color w:val="000000"/>
                <w:shd w:val="clear" w:color="auto" w:fill="FFFFFF"/>
              </w:rPr>
              <w:t>Systems of Equations</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Sum</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Product</w:t>
            </w:r>
          </w:p>
          <w:p w:rsidR="009339DE" w:rsidRPr="009339DE"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Rational</w:t>
            </w:r>
          </w:p>
          <w:p w:rsidR="009339DE" w:rsidRPr="00951DB4" w:rsidRDefault="009339DE" w:rsidP="00951DB4">
            <w:pPr>
              <w:pStyle w:val="ListParagraph"/>
              <w:numPr>
                <w:ilvl w:val="0"/>
                <w:numId w:val="6"/>
              </w:numPr>
              <w:spacing w:after="160"/>
              <w:ind w:left="330"/>
              <w:rPr>
                <w:rFonts w:cstheme="minorHAnsi"/>
                <w:b/>
              </w:rPr>
            </w:pPr>
            <w:r>
              <w:rPr>
                <w:rFonts w:cstheme="minorHAnsi"/>
                <w:color w:val="000000"/>
                <w:shd w:val="clear" w:color="auto" w:fill="FFFFFF"/>
              </w:rPr>
              <w:t>Irrational</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0572E9" w:rsidRPr="000572E9" w:rsidRDefault="006D43BE" w:rsidP="00065191">
            <w:pPr>
              <w:pStyle w:val="ListParagraph"/>
              <w:numPr>
                <w:ilvl w:val="0"/>
                <w:numId w:val="1"/>
              </w:numPr>
              <w:rPr>
                <w:rFonts w:cstheme="minorHAnsi"/>
              </w:rPr>
            </w:pPr>
            <w:r w:rsidRPr="000572E9">
              <w:rPr>
                <w:rFonts w:cstheme="minorHAnsi"/>
                <w:b/>
              </w:rPr>
              <w:t xml:space="preserve">Lesson </w:t>
            </w:r>
            <w:r w:rsidR="009C3567">
              <w:rPr>
                <w:rFonts w:cstheme="minorHAnsi"/>
                <w:b/>
              </w:rPr>
              <w:t>PDF</w:t>
            </w:r>
            <w:r w:rsidRPr="000572E9">
              <w:rPr>
                <w:rFonts w:cstheme="minorHAnsi"/>
                <w:b/>
              </w:rPr>
              <w:t xml:space="preserve">: </w:t>
            </w:r>
            <w:hyperlink r:id="rId8" w:history="1">
              <w:r w:rsidR="009C3567">
                <w:rPr>
                  <w:rStyle w:val="Hyperlink"/>
                </w:rPr>
                <w:t>https://www.insidemathematics.org/sites/default/files/materials/sorting%20functions_6.pdf</w:t>
              </w:r>
            </w:hyperlink>
          </w:p>
          <w:p w:rsidR="006D43BE" w:rsidRPr="00951DB4" w:rsidRDefault="009339DE" w:rsidP="006D43BE">
            <w:pPr>
              <w:pStyle w:val="ListParagraph"/>
              <w:numPr>
                <w:ilvl w:val="0"/>
                <w:numId w:val="1"/>
              </w:numPr>
              <w:rPr>
                <w:rFonts w:cstheme="minorHAnsi"/>
                <w:b/>
              </w:rPr>
            </w:pPr>
            <w:r>
              <w:rPr>
                <w:rFonts w:cstheme="minorHAnsi"/>
                <w:b/>
              </w:rPr>
              <w:t>Student Artifact</w:t>
            </w:r>
            <w:r w:rsidR="006D43BE" w:rsidRPr="00951DB4">
              <w:rPr>
                <w:rFonts w:cstheme="minorHAnsi"/>
                <w:b/>
              </w:rPr>
              <w:t>:</w:t>
            </w:r>
          </w:p>
          <w:p w:rsidR="000572E9" w:rsidRPr="009339DE" w:rsidRDefault="009339DE" w:rsidP="009339DE">
            <w:pPr>
              <w:pStyle w:val="ListParagraph"/>
              <w:ind w:left="360"/>
              <w:rPr>
                <w:rFonts w:cstheme="minorHAnsi"/>
              </w:rPr>
            </w:pPr>
            <w:r w:rsidRPr="009339DE">
              <w:rPr>
                <w:rFonts w:cstheme="minorHAnsi"/>
              </w:rPr>
              <w:t>n/a</w:t>
            </w: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0032A4">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CB6EB3">
              <w:rPr>
                <w:rFonts w:cstheme="minorHAnsi"/>
                <w:sz w:val="24"/>
                <w:szCs w:val="24"/>
              </w:rPr>
              <w:t>3</w:t>
            </w:r>
          </w:p>
          <w:p w:rsidR="00522D17" w:rsidRDefault="00522D17" w:rsidP="00522D17">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Pr>
                <w:rFonts w:ascii="Arial" w:hAnsi="Arial" w:cs="Arial"/>
                <w:b/>
              </w:rPr>
              <w:t>:</w:t>
            </w:r>
          </w:p>
          <w:p w:rsidR="00522D17" w:rsidRPr="008271D4" w:rsidRDefault="00522D17" w:rsidP="00522D17">
            <w:pPr>
              <w:spacing w:before="240"/>
              <w:rPr>
                <w:rFonts w:ascii="Arial" w:hAnsi="Arial" w:cs="Arial"/>
                <w:u w:val="single"/>
              </w:rPr>
            </w:pPr>
            <w:r w:rsidRPr="008271D4">
              <w:rPr>
                <w:rFonts w:ascii="Arial" w:hAnsi="Arial" w:cs="Arial"/>
                <w:u w:val="single"/>
              </w:rPr>
              <w:t>Learning and Innovation Skills:</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Creativity and Innovation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Critical Thinking and Problem Solving</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Communication</w:t>
            </w:r>
          </w:p>
          <w:p w:rsidR="00522D17" w:rsidRPr="008271D4" w:rsidRDefault="00522D17" w:rsidP="00522D17">
            <w:pPr>
              <w:pStyle w:val="ListParagraph"/>
              <w:numPr>
                <w:ilvl w:val="0"/>
                <w:numId w:val="13"/>
              </w:numPr>
              <w:spacing w:after="160" w:line="259" w:lineRule="auto"/>
              <w:ind w:left="316"/>
              <w:rPr>
                <w:rFonts w:cstheme="minorHAnsi"/>
              </w:rPr>
            </w:pPr>
            <w:r w:rsidRPr="008271D4">
              <w:rPr>
                <w:rFonts w:cstheme="minorHAnsi"/>
              </w:rPr>
              <w:t>Collaboration</w:t>
            </w:r>
          </w:p>
          <w:p w:rsidR="00522D17" w:rsidRPr="008271D4" w:rsidRDefault="00522D17" w:rsidP="00522D17">
            <w:pPr>
              <w:spacing w:before="240"/>
              <w:ind w:left="-44"/>
              <w:rPr>
                <w:rFonts w:ascii="Arial" w:hAnsi="Arial" w:cs="Arial"/>
                <w:u w:val="single"/>
              </w:rPr>
            </w:pPr>
            <w:r w:rsidRPr="008271D4">
              <w:rPr>
                <w:rFonts w:ascii="Arial" w:hAnsi="Arial" w:cs="Arial"/>
                <w:u w:val="single"/>
              </w:rPr>
              <w:t>Information, Media and Technology Skills:</w:t>
            </w:r>
          </w:p>
          <w:p w:rsidR="00522D17" w:rsidRDefault="00522D17" w:rsidP="00522D17">
            <w:pPr>
              <w:pStyle w:val="ListParagraph"/>
              <w:numPr>
                <w:ilvl w:val="0"/>
                <w:numId w:val="13"/>
              </w:numPr>
              <w:spacing w:after="160" w:line="259" w:lineRule="auto"/>
              <w:ind w:left="316"/>
              <w:rPr>
                <w:rFonts w:cstheme="minorHAnsi"/>
              </w:rPr>
            </w:pPr>
            <w:r w:rsidRPr="008271D4">
              <w:rPr>
                <w:rFonts w:cstheme="minorHAnsi"/>
              </w:rPr>
              <w:t>Information Literacy</w:t>
            </w:r>
          </w:p>
          <w:p w:rsidR="00522D17" w:rsidRPr="008271D4" w:rsidRDefault="00522D17" w:rsidP="00522D17">
            <w:pPr>
              <w:pStyle w:val="ListParagraph"/>
              <w:numPr>
                <w:ilvl w:val="0"/>
                <w:numId w:val="13"/>
              </w:numPr>
              <w:spacing w:after="160" w:line="259" w:lineRule="auto"/>
              <w:ind w:left="316"/>
              <w:rPr>
                <w:rFonts w:cstheme="minorHAnsi"/>
              </w:rPr>
            </w:pPr>
            <w:r>
              <w:rPr>
                <w:rFonts w:cstheme="minorHAnsi"/>
              </w:rPr>
              <w:t>Media Literacy</w:t>
            </w:r>
          </w:p>
          <w:p w:rsidR="00CB2743" w:rsidRPr="00522D17" w:rsidRDefault="00522D17" w:rsidP="00522D17">
            <w:pPr>
              <w:pStyle w:val="ListParagraph"/>
              <w:numPr>
                <w:ilvl w:val="0"/>
                <w:numId w:val="13"/>
              </w:numPr>
              <w:spacing w:after="160" w:line="259" w:lineRule="auto"/>
              <w:ind w:left="316"/>
              <w:rPr>
                <w:rFonts w:cstheme="minorHAnsi"/>
              </w:rPr>
            </w:pPr>
            <w:r w:rsidRPr="008271D4">
              <w:rPr>
                <w:rFonts w:cstheme="minorHAnsi"/>
              </w:rPr>
              <w:t>Technology Skills</w:t>
            </w: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t>Test Item Exemplars:</w:t>
            </w:r>
          </w:p>
          <w:p w:rsidR="009339DE" w:rsidRDefault="009339DE" w:rsidP="009339DE">
            <w:r>
              <w:t>Open Exploration Activity (Ongoing Formative Assessment).</w:t>
            </w:r>
          </w:p>
          <w:p w:rsidR="00F416C6" w:rsidRDefault="00F416C6" w:rsidP="009339DE">
            <w:bookmarkStart w:id="0" w:name="_GoBack"/>
            <w:bookmarkEnd w:id="0"/>
          </w:p>
          <w:p w:rsidR="000D4C8C" w:rsidRDefault="00FA3F5C" w:rsidP="002C18E0">
            <w:pPr>
              <w:rPr>
                <w:noProof/>
              </w:rPr>
            </w:pPr>
            <w:r>
              <w:rPr>
                <w:noProof/>
              </w:rPr>
              <w:t xml:space="preserve"> </w:t>
            </w:r>
            <w:r w:rsidR="009C3567" w:rsidRPr="009C3567">
              <w:rPr>
                <w:noProof/>
              </w:rPr>
              <w:drawing>
                <wp:inline distT="0" distB="0" distL="0" distR="0" wp14:anchorId="78AC3EF2" wp14:editId="3FD99A66">
                  <wp:extent cx="2562225" cy="35573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7192" cy="3578131"/>
                          </a:xfrm>
                          <a:prstGeom prst="rect">
                            <a:avLst/>
                          </a:prstGeom>
                        </pic:spPr>
                      </pic:pic>
                    </a:graphicData>
                  </a:graphic>
                </wp:inline>
              </w:drawing>
            </w:r>
            <w:r w:rsidR="009C3567">
              <w:rPr>
                <w:noProof/>
              </w:rPr>
              <w:t xml:space="preserve"> </w:t>
            </w:r>
            <w:r w:rsidR="009C3567" w:rsidRPr="009C3567">
              <w:rPr>
                <w:noProof/>
              </w:rPr>
              <w:drawing>
                <wp:inline distT="0" distB="0" distL="0" distR="0" wp14:anchorId="6A6B6EDF" wp14:editId="72990C5D">
                  <wp:extent cx="2775900" cy="36385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86782" cy="3652814"/>
                          </a:xfrm>
                          <a:prstGeom prst="rect">
                            <a:avLst/>
                          </a:prstGeom>
                        </pic:spPr>
                      </pic:pic>
                    </a:graphicData>
                  </a:graphic>
                </wp:inline>
              </w:drawing>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7C3" w:rsidRDefault="002E17C3" w:rsidP="00A82988">
      <w:pPr>
        <w:spacing w:after="0" w:line="240" w:lineRule="auto"/>
      </w:pPr>
      <w:r>
        <w:separator/>
      </w:r>
    </w:p>
  </w:endnote>
  <w:endnote w:type="continuationSeparator" w:id="0">
    <w:p w:rsidR="002E17C3" w:rsidRDefault="002E17C3"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7C3" w:rsidRDefault="002E17C3" w:rsidP="00A82988">
      <w:pPr>
        <w:spacing w:after="0" w:line="240" w:lineRule="auto"/>
      </w:pPr>
      <w:r>
        <w:separator/>
      </w:r>
    </w:p>
  </w:footnote>
  <w:footnote w:type="continuationSeparator" w:id="0">
    <w:p w:rsidR="002E17C3" w:rsidRDefault="002E17C3"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w:t>
    </w:r>
    <w:r w:rsidR="004E7660">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4E7660">
      <w:rPr>
        <w:rFonts w:ascii="Arial" w:hAnsi="Arial" w:cs="Arial"/>
        <w:color w:val="000000"/>
        <w:shd w:val="clear" w:color="auto" w:fill="FFFFFF"/>
      </w:rPr>
      <w:t>Quadratic Functions and Modeling</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w:t>
    </w:r>
    <w:r w:rsidR="00CA7BE8">
      <w:rPr>
        <w:rFonts w:ascii="Arial" w:hAnsi="Arial" w:cs="Arial"/>
        <w:b/>
        <w:color w:val="000000" w:themeColor="text1"/>
      </w:rPr>
      <w:t>3</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CA7BE8">
      <w:rPr>
        <w:rFonts w:ascii="Arial" w:hAnsi="Arial" w:cs="Arial"/>
        <w:color w:val="000000"/>
        <w:shd w:val="clear" w:color="auto" w:fill="FFFFFF"/>
      </w:rPr>
      <w:t>Sorting Functions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0FCD"/>
    <w:multiLevelType w:val="hybridMultilevel"/>
    <w:tmpl w:val="C95C8CFE"/>
    <w:lvl w:ilvl="0" w:tplc="E640C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35A7A"/>
    <w:multiLevelType w:val="hybridMultilevel"/>
    <w:tmpl w:val="ACE8E508"/>
    <w:lvl w:ilvl="0" w:tplc="B8181EB0">
      <w:start w:val="3"/>
      <w:numFmt w:val="decimal"/>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424BE"/>
    <w:multiLevelType w:val="hybridMultilevel"/>
    <w:tmpl w:val="8C4C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0"/>
  </w:num>
  <w:num w:numId="4">
    <w:abstractNumId w:val="9"/>
  </w:num>
  <w:num w:numId="5">
    <w:abstractNumId w:val="5"/>
  </w:num>
  <w:num w:numId="6">
    <w:abstractNumId w:val="8"/>
  </w:num>
  <w:num w:numId="7">
    <w:abstractNumId w:val="11"/>
  </w:num>
  <w:num w:numId="8">
    <w:abstractNumId w:val="1"/>
  </w:num>
  <w:num w:numId="9">
    <w:abstractNumId w:val="2"/>
  </w:num>
  <w:num w:numId="10">
    <w:abstractNumId w:val="7"/>
  </w:num>
  <w:num w:numId="11">
    <w:abstractNumId w:val="14"/>
  </w:num>
  <w:num w:numId="12">
    <w:abstractNumId w:val="6"/>
  </w:num>
  <w:num w:numId="13">
    <w:abstractNumId w:val="3"/>
  </w:num>
  <w:num w:numId="14">
    <w:abstractNumId w:val="12"/>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32A4"/>
    <w:rsid w:val="00010A25"/>
    <w:rsid w:val="00037C8F"/>
    <w:rsid w:val="000441AC"/>
    <w:rsid w:val="000572E9"/>
    <w:rsid w:val="00067117"/>
    <w:rsid w:val="000823BD"/>
    <w:rsid w:val="000C0C1F"/>
    <w:rsid w:val="000D4A1A"/>
    <w:rsid w:val="000D4C8C"/>
    <w:rsid w:val="001437D2"/>
    <w:rsid w:val="0016044C"/>
    <w:rsid w:val="001A7A44"/>
    <w:rsid w:val="00254D20"/>
    <w:rsid w:val="00296E5B"/>
    <w:rsid w:val="002C18E0"/>
    <w:rsid w:val="002E17C3"/>
    <w:rsid w:val="003118B8"/>
    <w:rsid w:val="00346B3E"/>
    <w:rsid w:val="003713E2"/>
    <w:rsid w:val="00397198"/>
    <w:rsid w:val="003B3E5B"/>
    <w:rsid w:val="003D263F"/>
    <w:rsid w:val="004A2D6F"/>
    <w:rsid w:val="004E7660"/>
    <w:rsid w:val="004F4115"/>
    <w:rsid w:val="00503371"/>
    <w:rsid w:val="00521230"/>
    <w:rsid w:val="00522D17"/>
    <w:rsid w:val="00525BAC"/>
    <w:rsid w:val="00616E3D"/>
    <w:rsid w:val="00656030"/>
    <w:rsid w:val="00673AA6"/>
    <w:rsid w:val="006A3CCC"/>
    <w:rsid w:val="006A3CD5"/>
    <w:rsid w:val="006B3F55"/>
    <w:rsid w:val="006C256E"/>
    <w:rsid w:val="006D43BE"/>
    <w:rsid w:val="00712651"/>
    <w:rsid w:val="007C6CA4"/>
    <w:rsid w:val="007D6D4A"/>
    <w:rsid w:val="00824CD7"/>
    <w:rsid w:val="0084677D"/>
    <w:rsid w:val="00850BB6"/>
    <w:rsid w:val="008520E5"/>
    <w:rsid w:val="008622C2"/>
    <w:rsid w:val="008C1319"/>
    <w:rsid w:val="008D61FD"/>
    <w:rsid w:val="008E6CB8"/>
    <w:rsid w:val="008E73E9"/>
    <w:rsid w:val="00922CC1"/>
    <w:rsid w:val="009339DE"/>
    <w:rsid w:val="00951DB4"/>
    <w:rsid w:val="0097350C"/>
    <w:rsid w:val="009A662C"/>
    <w:rsid w:val="009A7DF6"/>
    <w:rsid w:val="009C10AB"/>
    <w:rsid w:val="009C3567"/>
    <w:rsid w:val="009D5AFC"/>
    <w:rsid w:val="009E5817"/>
    <w:rsid w:val="009F6707"/>
    <w:rsid w:val="00A06385"/>
    <w:rsid w:val="00A32A56"/>
    <w:rsid w:val="00A67513"/>
    <w:rsid w:val="00A71565"/>
    <w:rsid w:val="00A72546"/>
    <w:rsid w:val="00A82988"/>
    <w:rsid w:val="00AA7246"/>
    <w:rsid w:val="00AB0E72"/>
    <w:rsid w:val="00AC4AE9"/>
    <w:rsid w:val="00AC6047"/>
    <w:rsid w:val="00AD5C99"/>
    <w:rsid w:val="00AE48C2"/>
    <w:rsid w:val="00B06C25"/>
    <w:rsid w:val="00B46403"/>
    <w:rsid w:val="00B61424"/>
    <w:rsid w:val="00B91623"/>
    <w:rsid w:val="00BE503C"/>
    <w:rsid w:val="00BE56A2"/>
    <w:rsid w:val="00C77573"/>
    <w:rsid w:val="00C91876"/>
    <w:rsid w:val="00CA7BE8"/>
    <w:rsid w:val="00CB2743"/>
    <w:rsid w:val="00CB6EB3"/>
    <w:rsid w:val="00CF65CB"/>
    <w:rsid w:val="00D938B7"/>
    <w:rsid w:val="00DB3E21"/>
    <w:rsid w:val="00DD6048"/>
    <w:rsid w:val="00E303D9"/>
    <w:rsid w:val="00E67291"/>
    <w:rsid w:val="00EA00C3"/>
    <w:rsid w:val="00EB5D9D"/>
    <w:rsid w:val="00EF7E14"/>
    <w:rsid w:val="00F178B5"/>
    <w:rsid w:val="00F416C6"/>
    <w:rsid w:val="00F72631"/>
    <w:rsid w:val="00F9420B"/>
    <w:rsid w:val="00FA2101"/>
    <w:rsid w:val="00FA3F5C"/>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2AEF7"/>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 w:type="paragraph" w:styleId="NormalWeb">
    <w:name w:val="Normal (Web)"/>
    <w:basedOn w:val="Normal"/>
    <w:uiPriority w:val="99"/>
    <w:semiHidden/>
    <w:unhideWhenUsed/>
    <w:rsid w:val="00FA3F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qrt">
    <w:name w:val="msqrt"/>
    <w:basedOn w:val="DefaultParagraphFont"/>
    <w:rsid w:val="00FA3F5C"/>
  </w:style>
  <w:style w:type="character" w:customStyle="1" w:styleId="mn">
    <w:name w:val="mn"/>
    <w:basedOn w:val="DefaultParagraphFont"/>
    <w:rsid w:val="00FA3F5C"/>
  </w:style>
  <w:style w:type="character" w:customStyle="1" w:styleId="mi">
    <w:name w:val="mi"/>
    <w:basedOn w:val="DefaultParagraphFont"/>
    <w:rsid w:val="00FA3F5C"/>
  </w:style>
  <w:style w:type="character" w:customStyle="1" w:styleId="mo">
    <w:name w:val="mo"/>
    <w:basedOn w:val="DefaultParagraphFont"/>
    <w:rsid w:val="00FA3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5247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idemathematics.org/sites/default/files/materials/sorting%20functions_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sidemathematics.org/sites/default/files/materials/sorting%20functions_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11</cp:revision>
  <dcterms:created xsi:type="dcterms:W3CDTF">2020-01-29T16:09:00Z</dcterms:created>
  <dcterms:modified xsi:type="dcterms:W3CDTF">2020-01-30T14:58:00Z</dcterms:modified>
</cp:coreProperties>
</file>