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9339DE">
        <w:trPr>
          <w:trHeight w:val="1295"/>
        </w:trPr>
        <w:tc>
          <w:tcPr>
            <w:tcW w:w="5395" w:type="dxa"/>
            <w:gridSpan w:val="3"/>
          </w:tcPr>
          <w:p w:rsidR="000441AC" w:rsidRDefault="000441AC">
            <w:pPr>
              <w:rPr>
                <w:rFonts w:ascii="Arial" w:hAnsi="Arial" w:cs="Arial"/>
                <w:b/>
              </w:rPr>
            </w:pPr>
            <w:r w:rsidRPr="000441AC">
              <w:rPr>
                <w:rFonts w:ascii="Arial" w:hAnsi="Arial" w:cs="Arial"/>
                <w:b/>
              </w:rPr>
              <w:t>Learning Target(s):</w:t>
            </w:r>
          </w:p>
          <w:p w:rsidR="000C0C1F" w:rsidRPr="00503371" w:rsidRDefault="009D41ED" w:rsidP="009D41ED">
            <w:pPr>
              <w:pStyle w:val="ListParagraph"/>
              <w:numPr>
                <w:ilvl w:val="0"/>
                <w:numId w:val="14"/>
              </w:numPr>
              <w:ind w:left="330"/>
              <w:rPr>
                <w:rFonts w:cstheme="minorHAnsi"/>
                <w:b/>
              </w:rPr>
            </w:pPr>
            <w:r w:rsidRPr="009D41ED">
              <w:rPr>
                <w:rFonts w:cstheme="minorHAnsi"/>
                <w:color w:val="000000"/>
                <w:shd w:val="clear" w:color="auto" w:fill="FFFFFF"/>
              </w:rPr>
              <w:t>Interpret linear, quadratic and exponential functions in terms of the context</w:t>
            </w:r>
            <w:r w:rsidR="00EB5D9D" w:rsidRPr="00503371">
              <w:rPr>
                <w:rFonts w:cstheme="minorHAnsi"/>
                <w:color w:val="000000"/>
                <w:shd w:val="clear" w:color="auto" w:fill="FFFFFF"/>
              </w:rPr>
              <w:t>.</w:t>
            </w:r>
          </w:p>
          <w:p w:rsidR="009D41ED" w:rsidRPr="009D41ED" w:rsidRDefault="009D41ED" w:rsidP="00C91876">
            <w:pPr>
              <w:pStyle w:val="ListParagraph"/>
              <w:numPr>
                <w:ilvl w:val="0"/>
                <w:numId w:val="3"/>
              </w:numPr>
              <w:ind w:left="330"/>
              <w:rPr>
                <w:rFonts w:cstheme="minorHAnsi"/>
                <w:b/>
              </w:rPr>
            </w:pPr>
            <w:r w:rsidRPr="009D41ED">
              <w:rPr>
                <w:rFonts w:cstheme="minorHAnsi"/>
                <w:color w:val="000000"/>
                <w:shd w:val="clear" w:color="auto" w:fill="FFFFFF"/>
              </w:rPr>
              <w:t>I can using tables, graphs and verbal descriptions, interpret key characteristics of a function that models the relationship between two quantities.</w:t>
            </w:r>
          </w:p>
          <w:p w:rsidR="00CF65CB" w:rsidRPr="00CF65CB" w:rsidRDefault="009D41ED" w:rsidP="00C91876">
            <w:pPr>
              <w:pStyle w:val="ListParagraph"/>
              <w:numPr>
                <w:ilvl w:val="0"/>
                <w:numId w:val="3"/>
              </w:numPr>
              <w:ind w:left="330"/>
              <w:rPr>
                <w:rFonts w:ascii="Arial" w:hAnsi="Arial" w:cs="Arial"/>
                <w:b/>
              </w:rPr>
            </w:pPr>
            <w:r w:rsidRPr="009D41ED">
              <w:rPr>
                <w:rFonts w:cstheme="minorHAnsi"/>
                <w:color w:val="000000"/>
                <w:shd w:val="clear" w:color="auto" w:fill="FFFFFF"/>
              </w:rPr>
              <w:t>I can relate the domain and range of a function to its graph and, where applicable, to the quantit</w:t>
            </w:r>
            <w:r>
              <w:rPr>
                <w:rFonts w:cstheme="minorHAnsi"/>
                <w:color w:val="000000"/>
                <w:shd w:val="clear" w:color="auto" w:fill="FFFFFF"/>
              </w:rPr>
              <w:t>ative relationship it describes</w:t>
            </w:r>
            <w:r w:rsidR="009C3567" w:rsidRPr="009C3567">
              <w:rPr>
                <w:rFonts w:cstheme="minorHAnsi"/>
                <w:color w:val="000000"/>
                <w:shd w:val="clear" w:color="auto" w:fill="FFFFFF"/>
              </w:rPr>
              <w:t>.</w:t>
            </w:r>
          </w:p>
          <w:p w:rsidR="00C91876" w:rsidRPr="00CF65CB" w:rsidRDefault="009D41ED" w:rsidP="00C91876">
            <w:pPr>
              <w:pStyle w:val="ListParagraph"/>
              <w:numPr>
                <w:ilvl w:val="0"/>
                <w:numId w:val="3"/>
              </w:numPr>
              <w:ind w:left="330"/>
              <w:rPr>
                <w:rFonts w:ascii="Arial" w:hAnsi="Arial" w:cs="Arial"/>
                <w:b/>
              </w:rPr>
            </w:pPr>
            <w:r w:rsidRPr="009D41ED">
              <w:rPr>
                <w:rFonts w:cstheme="minorHAnsi"/>
                <w:color w:val="000000"/>
                <w:shd w:val="clear" w:color="auto" w:fill="FFFFFF"/>
              </w:rPr>
              <w:t>I can determine the average rate of change of a function over a specified int</w:t>
            </w:r>
            <w:r>
              <w:rPr>
                <w:rFonts w:cstheme="minorHAnsi"/>
                <w:color w:val="000000"/>
                <w:shd w:val="clear" w:color="auto" w:fill="FFFFFF"/>
              </w:rPr>
              <w:t>erval and interpret the meaning</w:t>
            </w:r>
            <w:r w:rsidR="009339DE" w:rsidRPr="009339DE">
              <w:rPr>
                <w:rFonts w:cstheme="minorHAnsi"/>
                <w:color w:val="000000"/>
                <w:shd w:val="clear" w:color="auto" w:fill="FFFFFF"/>
              </w:rPr>
              <w:t>.</w:t>
            </w:r>
          </w:p>
          <w:p w:rsidR="00CF65CB" w:rsidRPr="00C91876" w:rsidRDefault="00CF65CB" w:rsidP="00CF65CB">
            <w:pPr>
              <w:pStyle w:val="ListParagraph"/>
              <w:ind w:left="330"/>
              <w:rPr>
                <w:rFonts w:ascii="Arial" w:hAnsi="Arial" w:cs="Arial"/>
                <w:b/>
              </w:rPr>
            </w:pP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522D17" w:rsidP="003713E2">
            <w:pPr>
              <w:pStyle w:val="ListParagraph"/>
              <w:numPr>
                <w:ilvl w:val="0"/>
                <w:numId w:val="3"/>
              </w:numPr>
              <w:ind w:left="346"/>
              <w:rPr>
                <w:rFonts w:cstheme="minorHAnsi"/>
              </w:rPr>
            </w:pPr>
            <w:r>
              <w:rPr>
                <w:rFonts w:cstheme="minorHAnsi"/>
              </w:rPr>
              <w:t xml:space="preserve">1 </w:t>
            </w:r>
            <w:r w:rsidR="003713E2">
              <w:rPr>
                <w:rFonts w:cstheme="minorHAnsi"/>
              </w:rPr>
              <w:t>Day</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w:t>
            </w:r>
            <w:r w:rsidR="009D41ED">
              <w:rPr>
                <w:rFonts w:eastAsia="Times New Roman" w:cstheme="minorHAnsi"/>
                <w:color w:val="000000"/>
              </w:rPr>
              <w:t xml:space="preserve">a business application </w:t>
            </w:r>
            <w:r w:rsidR="009E5817">
              <w:rPr>
                <w:rFonts w:eastAsia="Times New Roman" w:cstheme="minorHAnsi"/>
                <w:color w:val="000000"/>
              </w:rPr>
              <w:t>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 xml:space="preserve">Investigate </w:t>
            </w:r>
            <w:r w:rsidR="009D41ED">
              <w:rPr>
                <w:rFonts w:eastAsia="Times New Roman" w:cstheme="minorHAnsi"/>
                <w:color w:val="000000"/>
              </w:rPr>
              <w:t>a business application</w:t>
            </w:r>
            <w:r>
              <w:rPr>
                <w:rFonts w:eastAsia="Times New Roman" w:cstheme="minorHAnsi"/>
                <w:color w:val="000000"/>
              </w:rPr>
              <w:t xml:space="preserve"> 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9D5AFC" w:rsidRDefault="0091709C" w:rsidP="0091709C">
            <w:pPr>
              <w:autoSpaceDE w:val="0"/>
              <w:autoSpaceDN w:val="0"/>
              <w:adjustRightInd w:val="0"/>
            </w:pPr>
            <w:r>
              <w:t>In t</w:t>
            </w:r>
            <w:r w:rsidR="00BE503C">
              <w:t>his </w:t>
            </w:r>
            <w:r>
              <w:t>lesson students analyze a profit function and assess variances in cost of production and profit margins as the volume of production varies.</w:t>
            </w:r>
          </w:p>
          <w:p w:rsidR="006D43BE" w:rsidRPr="00A72546" w:rsidRDefault="00FA3F5C" w:rsidP="00FA3F5C">
            <w:pPr>
              <w:autoSpaceDE w:val="0"/>
              <w:autoSpaceDN w:val="0"/>
              <w:adjustRightInd w:val="0"/>
              <w:spacing w:before="240"/>
              <w:rPr>
                <w:rFonts w:cstheme="minorHAnsi"/>
              </w:rPr>
            </w:pPr>
            <w:r w:rsidRPr="00A72546">
              <w:rPr>
                <w:rFonts w:cstheme="minorHAnsi"/>
              </w:rPr>
              <w:t xml:space="preserve"> </w:t>
            </w:r>
            <w:r w:rsidR="006D43BE" w:rsidRPr="00A72546">
              <w:rPr>
                <w:rFonts w:cstheme="minorHAnsi"/>
              </w:rPr>
              <w:t xml:space="preserve">Activity Link: </w:t>
            </w:r>
            <w:hyperlink r:id="rId8" w:history="1">
              <w:r w:rsidR="008210E1">
                <w:rPr>
                  <w:rStyle w:val="Hyperlink"/>
                </w:rPr>
                <w:t>https://tasks.illustrativemathematics.org/content-standards/tasks/387</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lastRenderedPageBreak/>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D3286D">
              <w:t>artifact</w:t>
            </w:r>
            <w:bookmarkStart w:id="0" w:name="_GoBack"/>
            <w:bookmarkEnd w:id="0"/>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397198" w:rsidRDefault="00397198" w:rsidP="00397198">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397198" w:rsidRPr="00397198" w:rsidRDefault="00397198" w:rsidP="00397198">
            <w:pPr>
              <w:pStyle w:val="ListParagraph"/>
              <w:numPr>
                <w:ilvl w:val="0"/>
                <w:numId w:val="11"/>
              </w:numPr>
              <w:ind w:left="330"/>
              <w:rPr>
                <w:rFonts w:cstheme="minorHAnsi"/>
              </w:rPr>
            </w:pPr>
            <w:r>
              <w:rPr>
                <w:rFonts w:ascii="Calibri" w:hAnsi="Calibri" w:cs="Calibri"/>
              </w:rPr>
              <w:t>Provide a vocabulary list.</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D938B7" w:rsidRDefault="00D938B7" w:rsidP="00397198">
            <w:pPr>
              <w:pStyle w:val="ListParagraph"/>
              <w:numPr>
                <w:ilvl w:val="0"/>
                <w:numId w:val="11"/>
              </w:numPr>
              <w:ind w:left="330"/>
              <w:rPr>
                <w:rFonts w:cstheme="minorHAnsi"/>
              </w:rPr>
            </w:pPr>
            <w:r>
              <w:rPr>
                <w:rFonts w:cstheme="minorHAnsi"/>
              </w:rPr>
              <w:t>Discourse strategies</w:t>
            </w:r>
            <w:r w:rsidR="00397198">
              <w:rPr>
                <w:rFonts w:cstheme="minorHAnsi"/>
              </w:rPr>
              <w:t>.</w:t>
            </w:r>
          </w:p>
          <w:p w:rsidR="00A82988" w:rsidRPr="00D938B7" w:rsidRDefault="00D938B7" w:rsidP="00397198">
            <w:pPr>
              <w:pStyle w:val="ListParagraph"/>
              <w:numPr>
                <w:ilvl w:val="0"/>
                <w:numId w:val="11"/>
              </w:numPr>
              <w:spacing w:after="160"/>
              <w:ind w:left="330"/>
              <w:rPr>
                <w:rFonts w:cstheme="minorHAnsi"/>
              </w:rPr>
            </w:pPr>
            <w:r w:rsidRPr="0038668C">
              <w:rPr>
                <w:rFonts w:cstheme="minorHAnsi"/>
              </w:rPr>
              <w:t>Reading and writing prompts</w:t>
            </w:r>
            <w:r w:rsidR="00397198">
              <w:rPr>
                <w:rFonts w:cstheme="minorHAnsi"/>
              </w:rPr>
              <w: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A7DF6" w:rsidRPr="00951DB4" w:rsidRDefault="009A7DF6" w:rsidP="00010A25">
            <w:pPr>
              <w:pStyle w:val="ListParagraph"/>
              <w:numPr>
                <w:ilvl w:val="0"/>
                <w:numId w:val="6"/>
              </w:numPr>
              <w:ind w:left="330"/>
              <w:rPr>
                <w:rFonts w:cstheme="minorHAnsi"/>
                <w:b/>
              </w:rPr>
            </w:pPr>
            <w:r>
              <w:rPr>
                <w:rFonts w:cstheme="minorHAnsi"/>
                <w:color w:val="000000"/>
                <w:shd w:val="clear" w:color="auto" w:fill="FFFFFF"/>
              </w:rPr>
              <w:t>Quadratic</w:t>
            </w:r>
          </w:p>
          <w:p w:rsidR="00A82988" w:rsidRPr="00522D17"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522D17" w:rsidRPr="009339DE" w:rsidRDefault="00522D17" w:rsidP="00951DB4">
            <w:pPr>
              <w:pStyle w:val="ListParagraph"/>
              <w:numPr>
                <w:ilvl w:val="0"/>
                <w:numId w:val="6"/>
              </w:numPr>
              <w:spacing w:after="160"/>
              <w:ind w:left="330"/>
              <w:rPr>
                <w:rFonts w:cstheme="minorHAnsi"/>
                <w:b/>
              </w:rPr>
            </w:pPr>
            <w:r>
              <w:rPr>
                <w:rFonts w:cstheme="minorHAnsi"/>
                <w:color w:val="000000"/>
                <w:shd w:val="clear" w:color="auto" w:fill="FFFFFF"/>
              </w:rPr>
              <w:t>Systems of Equations</w:t>
            </w:r>
          </w:p>
          <w:p w:rsidR="009339DE" w:rsidRPr="009339DE"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Sum</w:t>
            </w:r>
          </w:p>
          <w:p w:rsidR="009339DE" w:rsidRPr="009339DE"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Product</w:t>
            </w:r>
          </w:p>
          <w:p w:rsidR="009339DE" w:rsidRPr="009339DE"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Rational</w:t>
            </w:r>
          </w:p>
          <w:p w:rsidR="009339DE" w:rsidRPr="00951DB4"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Irrational</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0572E9" w:rsidRPr="000572E9" w:rsidRDefault="006D43BE" w:rsidP="00065191">
            <w:pPr>
              <w:pStyle w:val="ListParagraph"/>
              <w:numPr>
                <w:ilvl w:val="0"/>
                <w:numId w:val="1"/>
              </w:numPr>
              <w:rPr>
                <w:rFonts w:cstheme="minorHAnsi"/>
              </w:rPr>
            </w:pPr>
            <w:r w:rsidRPr="000572E9">
              <w:rPr>
                <w:rFonts w:cstheme="minorHAnsi"/>
                <w:b/>
              </w:rPr>
              <w:t xml:space="preserve">Lesson </w:t>
            </w:r>
            <w:r w:rsidR="008210E1">
              <w:rPr>
                <w:rFonts w:cstheme="minorHAnsi"/>
                <w:b/>
              </w:rPr>
              <w:t>Website</w:t>
            </w:r>
            <w:r w:rsidRPr="000572E9">
              <w:rPr>
                <w:rFonts w:cstheme="minorHAnsi"/>
                <w:b/>
              </w:rPr>
              <w:t xml:space="preserve">: </w:t>
            </w:r>
            <w:hyperlink r:id="rId9" w:history="1">
              <w:r w:rsidR="008210E1">
                <w:rPr>
                  <w:rStyle w:val="Hyperlink"/>
                </w:rPr>
                <w:t>https://tasks.illustrativemathematics.org/content-standards/tasks/387</w:t>
              </w:r>
            </w:hyperlink>
          </w:p>
          <w:p w:rsidR="006D43BE" w:rsidRPr="00951DB4" w:rsidRDefault="009339DE" w:rsidP="006D43BE">
            <w:pPr>
              <w:pStyle w:val="ListParagraph"/>
              <w:numPr>
                <w:ilvl w:val="0"/>
                <w:numId w:val="1"/>
              </w:numPr>
              <w:rPr>
                <w:rFonts w:cstheme="minorHAnsi"/>
                <w:b/>
              </w:rPr>
            </w:pPr>
            <w:r>
              <w:rPr>
                <w:rFonts w:cstheme="minorHAnsi"/>
                <w:b/>
              </w:rPr>
              <w:t>Student Artifact</w:t>
            </w:r>
            <w:r w:rsidR="006D43BE" w:rsidRPr="00951DB4">
              <w:rPr>
                <w:rFonts w:cstheme="minorHAnsi"/>
                <w:b/>
              </w:rPr>
              <w:t>:</w:t>
            </w:r>
          </w:p>
          <w:p w:rsidR="000572E9" w:rsidRPr="009339DE" w:rsidRDefault="009339DE" w:rsidP="009339DE">
            <w:pPr>
              <w:pStyle w:val="ListParagraph"/>
              <w:ind w:left="360"/>
              <w:rPr>
                <w:rFonts w:cstheme="minorHAnsi"/>
              </w:rPr>
            </w:pPr>
            <w:r w:rsidRPr="009339DE">
              <w:rPr>
                <w:rFonts w:cstheme="minorHAnsi"/>
              </w:rPr>
              <w:t>n/a</w:t>
            </w:r>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0032A4">
              <w:rPr>
                <w:rFonts w:cstheme="minorHAnsi"/>
                <w:sz w:val="24"/>
                <w:szCs w:val="24"/>
              </w:rPr>
              <w:t>Analyze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CB6EB3">
              <w:rPr>
                <w:rFonts w:cstheme="minorHAnsi"/>
                <w:sz w:val="24"/>
                <w:szCs w:val="24"/>
              </w:rPr>
              <w:t>3</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lastRenderedPageBreak/>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9339DE" w:rsidRDefault="009339DE" w:rsidP="009339DE">
            <w:r>
              <w:t>Open Exploration Activity (Ongoing Formative Assessment).</w:t>
            </w:r>
          </w:p>
          <w:p w:rsidR="008210E1" w:rsidRDefault="008210E1" w:rsidP="009339DE"/>
          <w:p w:rsidR="000D4C8C" w:rsidRDefault="00FA3F5C" w:rsidP="002C18E0">
            <w:pPr>
              <w:rPr>
                <w:noProof/>
              </w:rPr>
            </w:pPr>
            <w:r>
              <w:rPr>
                <w:noProof/>
              </w:rPr>
              <w:t xml:space="preserve"> </w:t>
            </w:r>
            <w:r w:rsidR="009C3567">
              <w:rPr>
                <w:noProof/>
              </w:rPr>
              <w:t xml:space="preserve"> </w:t>
            </w:r>
            <w:r w:rsidR="008210E1" w:rsidRPr="008210E1">
              <w:rPr>
                <w:noProof/>
              </w:rPr>
              <w:drawing>
                <wp:inline distT="0" distB="0" distL="0" distR="0" wp14:anchorId="3D1950D2" wp14:editId="2E204741">
                  <wp:extent cx="2352675" cy="30664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4310" cy="3081573"/>
                          </a:xfrm>
                          <a:prstGeom prst="rect">
                            <a:avLst/>
                          </a:prstGeom>
                        </pic:spPr>
                      </pic:pic>
                    </a:graphicData>
                  </a:graphic>
                </wp:inline>
              </w:drawing>
            </w:r>
            <w:r w:rsidR="008210E1">
              <w:rPr>
                <w:noProof/>
              </w:rPr>
              <w:t xml:space="preserve"> </w:t>
            </w:r>
            <w:r w:rsidR="008210E1" w:rsidRPr="008210E1">
              <w:rPr>
                <w:noProof/>
              </w:rPr>
              <w:drawing>
                <wp:inline distT="0" distB="0" distL="0" distR="0" wp14:anchorId="15BCE5C0" wp14:editId="5214E705">
                  <wp:extent cx="1447800" cy="300479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1979" cy="3013466"/>
                          </a:xfrm>
                          <a:prstGeom prst="rect">
                            <a:avLst/>
                          </a:prstGeom>
                        </pic:spPr>
                      </pic:pic>
                    </a:graphicData>
                  </a:graphic>
                </wp:inline>
              </w:drawing>
            </w:r>
          </w:p>
          <w:p w:rsidR="008210E1" w:rsidRDefault="008210E1" w:rsidP="002C18E0">
            <w:pPr>
              <w:rPr>
                <w:noProof/>
              </w:rPr>
            </w:pPr>
          </w:p>
        </w:tc>
      </w:tr>
    </w:tbl>
    <w:p w:rsidR="00673AA6" w:rsidRDefault="00673AA6"/>
    <w:sectPr w:rsidR="00673A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5E" w:rsidRDefault="00BE515E" w:rsidP="00A82988">
      <w:pPr>
        <w:spacing w:after="0" w:line="240" w:lineRule="auto"/>
      </w:pPr>
      <w:r>
        <w:separator/>
      </w:r>
    </w:p>
  </w:endnote>
  <w:endnote w:type="continuationSeparator" w:id="0">
    <w:p w:rsidR="00BE515E" w:rsidRDefault="00BE515E"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5E" w:rsidRDefault="00BE515E" w:rsidP="00A82988">
      <w:pPr>
        <w:spacing w:after="0" w:line="240" w:lineRule="auto"/>
      </w:pPr>
      <w:r>
        <w:separator/>
      </w:r>
    </w:p>
  </w:footnote>
  <w:footnote w:type="continuationSeparator" w:id="0">
    <w:p w:rsidR="00BE515E" w:rsidRDefault="00BE515E"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4E7660">
      <w:rPr>
        <w:rFonts w:ascii="Arial" w:hAnsi="Arial" w:cs="Arial"/>
        <w:b/>
        <w:color w:val="000000" w:themeColor="text1"/>
      </w:rPr>
      <w:t>3</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4E7660">
      <w:rPr>
        <w:rFonts w:ascii="Arial" w:hAnsi="Arial" w:cs="Arial"/>
        <w:color w:val="000000"/>
        <w:shd w:val="clear" w:color="auto" w:fill="FFFFFF"/>
      </w:rPr>
      <w:t>Quadratic Functions and Modeling</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9D41ED">
      <w:rPr>
        <w:rFonts w:ascii="Arial" w:hAnsi="Arial" w:cs="Arial"/>
        <w:b/>
        <w:color w:val="000000" w:themeColor="text1"/>
      </w:rPr>
      <w:t>2</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9D41ED">
      <w:rPr>
        <w:rFonts w:ascii="Arial" w:hAnsi="Arial" w:cs="Arial"/>
        <w:color w:val="000000"/>
        <w:shd w:val="clear" w:color="auto" w:fill="FFFFFF"/>
      </w:rPr>
      <w:t>Average Cost</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35A7A"/>
    <w:multiLevelType w:val="hybridMultilevel"/>
    <w:tmpl w:val="BD0E56C2"/>
    <w:lvl w:ilvl="0" w:tplc="F83466D0">
      <w:start w:val="2"/>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9"/>
  </w:num>
  <w:num w:numId="5">
    <w:abstractNumId w:val="5"/>
  </w:num>
  <w:num w:numId="6">
    <w:abstractNumId w:val="8"/>
  </w:num>
  <w:num w:numId="7">
    <w:abstractNumId w:val="11"/>
  </w:num>
  <w:num w:numId="8">
    <w:abstractNumId w:val="1"/>
  </w:num>
  <w:num w:numId="9">
    <w:abstractNumId w:val="2"/>
  </w:num>
  <w:num w:numId="10">
    <w:abstractNumId w:val="7"/>
  </w:num>
  <w:num w:numId="11">
    <w:abstractNumId w:val="14"/>
  </w:num>
  <w:num w:numId="12">
    <w:abstractNumId w:val="6"/>
  </w:num>
  <w:num w:numId="13">
    <w:abstractNumId w:val="3"/>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032A4"/>
    <w:rsid w:val="00010A25"/>
    <w:rsid w:val="00037C8F"/>
    <w:rsid w:val="000441AC"/>
    <w:rsid w:val="000572E9"/>
    <w:rsid w:val="00067117"/>
    <w:rsid w:val="000823BD"/>
    <w:rsid w:val="000C0C1F"/>
    <w:rsid w:val="000D4A1A"/>
    <w:rsid w:val="000D4C8C"/>
    <w:rsid w:val="001437D2"/>
    <w:rsid w:val="0016044C"/>
    <w:rsid w:val="00161643"/>
    <w:rsid w:val="001A7A44"/>
    <w:rsid w:val="00254D20"/>
    <w:rsid w:val="00296E5B"/>
    <w:rsid w:val="002C18E0"/>
    <w:rsid w:val="003118B8"/>
    <w:rsid w:val="00346B3E"/>
    <w:rsid w:val="003713E2"/>
    <w:rsid w:val="00397198"/>
    <w:rsid w:val="003B3E5B"/>
    <w:rsid w:val="003D263F"/>
    <w:rsid w:val="004A2D6F"/>
    <w:rsid w:val="004E7660"/>
    <w:rsid w:val="004F4115"/>
    <w:rsid w:val="00503371"/>
    <w:rsid w:val="00521230"/>
    <w:rsid w:val="00522D17"/>
    <w:rsid w:val="00525BAC"/>
    <w:rsid w:val="00616E3D"/>
    <w:rsid w:val="00656030"/>
    <w:rsid w:val="00673AA6"/>
    <w:rsid w:val="006A3CCC"/>
    <w:rsid w:val="006A3CD5"/>
    <w:rsid w:val="006B3F55"/>
    <w:rsid w:val="006C256E"/>
    <w:rsid w:val="006D43BE"/>
    <w:rsid w:val="006E4D16"/>
    <w:rsid w:val="00712651"/>
    <w:rsid w:val="007C6CA4"/>
    <w:rsid w:val="007D6D4A"/>
    <w:rsid w:val="008210E1"/>
    <w:rsid w:val="00824CD7"/>
    <w:rsid w:val="0084677D"/>
    <w:rsid w:val="00850BB6"/>
    <w:rsid w:val="008520E5"/>
    <w:rsid w:val="008622C2"/>
    <w:rsid w:val="008C1319"/>
    <w:rsid w:val="008D61FD"/>
    <w:rsid w:val="008E6CB8"/>
    <w:rsid w:val="008E73E9"/>
    <w:rsid w:val="0091709C"/>
    <w:rsid w:val="00922CC1"/>
    <w:rsid w:val="009339DE"/>
    <w:rsid w:val="00951DB4"/>
    <w:rsid w:val="0097350C"/>
    <w:rsid w:val="009A662C"/>
    <w:rsid w:val="009A7DF6"/>
    <w:rsid w:val="009C10AB"/>
    <w:rsid w:val="009C3567"/>
    <w:rsid w:val="009D41ED"/>
    <w:rsid w:val="009D5AFC"/>
    <w:rsid w:val="009E5817"/>
    <w:rsid w:val="009F6707"/>
    <w:rsid w:val="00A06385"/>
    <w:rsid w:val="00A32A56"/>
    <w:rsid w:val="00A67513"/>
    <w:rsid w:val="00A71565"/>
    <w:rsid w:val="00A72546"/>
    <w:rsid w:val="00A82988"/>
    <w:rsid w:val="00AA7246"/>
    <w:rsid w:val="00AB0E72"/>
    <w:rsid w:val="00AC4AE9"/>
    <w:rsid w:val="00AC6047"/>
    <w:rsid w:val="00AD5C99"/>
    <w:rsid w:val="00AE48C2"/>
    <w:rsid w:val="00B06C25"/>
    <w:rsid w:val="00B46403"/>
    <w:rsid w:val="00B61424"/>
    <w:rsid w:val="00B91623"/>
    <w:rsid w:val="00BE503C"/>
    <w:rsid w:val="00BE515E"/>
    <w:rsid w:val="00BE56A2"/>
    <w:rsid w:val="00C77573"/>
    <w:rsid w:val="00C91876"/>
    <w:rsid w:val="00CA7BE8"/>
    <w:rsid w:val="00CB2743"/>
    <w:rsid w:val="00CB6EB3"/>
    <w:rsid w:val="00CF65CB"/>
    <w:rsid w:val="00D3286D"/>
    <w:rsid w:val="00D938B7"/>
    <w:rsid w:val="00DB3E21"/>
    <w:rsid w:val="00DD6048"/>
    <w:rsid w:val="00E303D9"/>
    <w:rsid w:val="00E67291"/>
    <w:rsid w:val="00EA00C3"/>
    <w:rsid w:val="00EB5D9D"/>
    <w:rsid w:val="00EF7E14"/>
    <w:rsid w:val="00F178B5"/>
    <w:rsid w:val="00F72631"/>
    <w:rsid w:val="00F9420B"/>
    <w:rsid w:val="00FA2101"/>
    <w:rsid w:val="00FA3F5C"/>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FA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qrt">
    <w:name w:val="msqrt"/>
    <w:basedOn w:val="DefaultParagraphFont"/>
    <w:rsid w:val="00FA3F5C"/>
  </w:style>
  <w:style w:type="character" w:customStyle="1" w:styleId="mn">
    <w:name w:val="mn"/>
    <w:basedOn w:val="DefaultParagraphFont"/>
    <w:rsid w:val="00FA3F5C"/>
  </w:style>
  <w:style w:type="character" w:customStyle="1" w:styleId="mi">
    <w:name w:val="mi"/>
    <w:basedOn w:val="DefaultParagraphFont"/>
    <w:rsid w:val="00FA3F5C"/>
  </w:style>
  <w:style w:type="character" w:customStyle="1" w:styleId="mo">
    <w:name w:val="mo"/>
    <w:basedOn w:val="DefaultParagraphFont"/>
    <w:rsid w:val="00FA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5247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ks.illustrativemathematics.org/content-standards/tasks/3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asks.illustrativemathematics.org/content-standards/tasks/3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16B6-41AA-4ADF-BB73-27C4C080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5</cp:revision>
  <dcterms:created xsi:type="dcterms:W3CDTF">2020-01-29T19:49:00Z</dcterms:created>
  <dcterms:modified xsi:type="dcterms:W3CDTF">2020-01-30T14:58:00Z</dcterms:modified>
</cp:coreProperties>
</file>