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E90C52" w:rsidRPr="00E90C52" w:rsidRDefault="006656F0" w:rsidP="006656F0">
            <w:pPr>
              <w:pStyle w:val="ListParagraph"/>
              <w:numPr>
                <w:ilvl w:val="0"/>
                <w:numId w:val="17"/>
              </w:numPr>
              <w:ind w:left="330"/>
              <w:rPr>
                <w:rFonts w:cstheme="minorHAnsi"/>
                <w:b/>
              </w:rPr>
            </w:pPr>
            <w:r w:rsidRPr="006656F0">
              <w:rPr>
                <w:rFonts w:cstheme="minorHAnsi"/>
                <w:color w:val="000000"/>
                <w:shd w:val="clear" w:color="auto" w:fill="FFFFFF"/>
              </w:rPr>
              <w:t>Analyze linear, quadratic and exponential functions using different representations.</w:t>
            </w:r>
          </w:p>
          <w:p w:rsidR="00500650" w:rsidRPr="00500650" w:rsidRDefault="00500650" w:rsidP="00C91876">
            <w:pPr>
              <w:pStyle w:val="ListParagraph"/>
              <w:numPr>
                <w:ilvl w:val="0"/>
                <w:numId w:val="3"/>
              </w:numPr>
              <w:ind w:left="330"/>
              <w:rPr>
                <w:rFonts w:cstheme="minorHAnsi"/>
              </w:rPr>
            </w:pPr>
            <w:r w:rsidRPr="00500650">
              <w:rPr>
                <w:rFonts w:cstheme="minorHAnsi"/>
                <w:color w:val="000000"/>
                <w:shd w:val="clear" w:color="auto" w:fill="FFFFFF"/>
              </w:rPr>
              <w:t>I can, using tables, graphs and verbal descriptions; interpret key characteristics of a function that models the relationship between two quantities.</w:t>
            </w:r>
          </w:p>
          <w:p w:rsidR="00500650" w:rsidRDefault="00500650" w:rsidP="00C91876">
            <w:pPr>
              <w:pStyle w:val="ListParagraph"/>
              <w:numPr>
                <w:ilvl w:val="0"/>
                <w:numId w:val="3"/>
              </w:numPr>
              <w:ind w:left="330"/>
              <w:rPr>
                <w:rFonts w:cstheme="minorHAnsi"/>
              </w:rPr>
            </w:pPr>
            <w:r w:rsidRPr="00500650">
              <w:rPr>
                <w:rFonts w:cstheme="minorHAnsi"/>
              </w:rPr>
              <w:t>I can graph functions expressed symbolically and identify and interpret key features of the graph.</w:t>
            </w:r>
          </w:p>
          <w:p w:rsidR="00E90C52" w:rsidRPr="00E90C52" w:rsidRDefault="00500650" w:rsidP="00C91876">
            <w:pPr>
              <w:pStyle w:val="ListParagraph"/>
              <w:numPr>
                <w:ilvl w:val="0"/>
                <w:numId w:val="3"/>
              </w:numPr>
              <w:ind w:left="330"/>
              <w:rPr>
                <w:rFonts w:cstheme="minorHAnsi"/>
              </w:rPr>
            </w:pPr>
            <w:r w:rsidRPr="00500650">
              <w:rPr>
                <w:rFonts w:cstheme="minorHAnsi"/>
              </w:rPr>
              <w:t xml:space="preserve">I can compare the properties of two functions </w:t>
            </w:r>
            <w:r>
              <w:rPr>
                <w:rFonts w:cstheme="minorHAnsi"/>
              </w:rPr>
              <w:t>given different representations</w:t>
            </w:r>
            <w:r w:rsidR="002B244C" w:rsidRPr="002B244C">
              <w:rPr>
                <w:rFonts w:cstheme="minorHAnsi"/>
              </w:rPr>
              <w:t>.</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083A90" w:rsidP="003713E2">
            <w:pPr>
              <w:pStyle w:val="ListParagraph"/>
              <w:numPr>
                <w:ilvl w:val="0"/>
                <w:numId w:val="3"/>
              </w:numPr>
              <w:ind w:left="346"/>
              <w:rPr>
                <w:rFonts w:cstheme="minorHAnsi"/>
              </w:rPr>
            </w:pPr>
            <w:r>
              <w:rPr>
                <w:rFonts w:cstheme="minorHAnsi"/>
              </w:rPr>
              <w:t>2</w:t>
            </w:r>
            <w:r w:rsidR="00522D17">
              <w:rPr>
                <w:rFonts w:cstheme="minorHAnsi"/>
              </w:rPr>
              <w:t xml:space="preserve"> </w:t>
            </w:r>
            <w:r w:rsidR="003713E2">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2B0B58" w:rsidRPr="002B0B58" w:rsidRDefault="002B0B58" w:rsidP="002B0B58">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w:t>
            </w:r>
            <w:r>
              <w:rPr>
                <w:rFonts w:cstheme="minorHAnsi"/>
              </w:rPr>
              <w:t>solve problems using scale drawing and informal geometric constructions, with 2-D and 3-D shapes, to solve problems involving area, surface area, and volume</w:t>
            </w:r>
            <w:r w:rsidRPr="00C91876">
              <w:rPr>
                <w:rFonts w:cstheme="minorHAnsi"/>
              </w:rPr>
              <w:t>.</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a </w:t>
            </w:r>
            <w:r w:rsidR="001D5BC5">
              <w:rPr>
                <w:rFonts w:eastAsia="Times New Roman" w:cstheme="minorHAnsi"/>
                <w:color w:val="000000"/>
              </w:rPr>
              <w:t>geometric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Make sensible estimates and assumptions.</w:t>
            </w:r>
          </w:p>
          <w:p w:rsidR="002235CC" w:rsidRPr="002235CC" w:rsidRDefault="009E5817" w:rsidP="002235CC">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Investigate a</w:t>
            </w:r>
            <w:r w:rsidR="008C1319" w:rsidRPr="002235CC">
              <w:rPr>
                <w:rFonts w:eastAsia="Times New Roman" w:cstheme="minorHAnsi"/>
                <w:color w:val="000000"/>
              </w:rPr>
              <w:t xml:space="preserve"> </w:t>
            </w:r>
            <w:r w:rsidR="001D5BC5" w:rsidRPr="002235CC">
              <w:rPr>
                <w:rFonts w:eastAsia="Times New Roman" w:cstheme="minorHAnsi"/>
                <w:color w:val="000000"/>
              </w:rPr>
              <w:t>geometric</w:t>
            </w:r>
            <w:r w:rsidRPr="002235CC">
              <w:rPr>
                <w:rFonts w:eastAsia="Times New Roman" w:cstheme="minorHAnsi"/>
                <w:color w:val="000000"/>
              </w:rPr>
              <w:t xml:space="preserve"> problem</w:t>
            </w:r>
            <w:r w:rsidR="008C1319" w:rsidRPr="002235CC">
              <w:rPr>
                <w:rFonts w:eastAsia="Times New Roman" w:cstheme="minorHAnsi"/>
                <w:color w:val="000000"/>
              </w:rPr>
              <w:t>.</w:t>
            </w:r>
          </w:p>
          <w:p w:rsidR="002235CC" w:rsidRPr="002235CC" w:rsidRDefault="008C1319" w:rsidP="002235CC">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Communicate their reasoning clearly.</w:t>
            </w:r>
          </w:p>
          <w:p w:rsidR="002235CC" w:rsidRPr="008E73E9" w:rsidRDefault="002235CC" w:rsidP="002235CC">
            <w:pPr>
              <w:pStyle w:val="ListParagraph"/>
              <w:numPr>
                <w:ilvl w:val="0"/>
                <w:numId w:val="1"/>
              </w:numPr>
              <w:ind w:left="346"/>
              <w:rPr>
                <w:rFonts w:ascii="Arial" w:hAnsi="Arial" w:cs="Arial"/>
              </w:rPr>
            </w:pPr>
            <w:r>
              <w:rPr>
                <w:rFonts w:eastAsia="Times New Roman" w:cstheme="minorHAnsi"/>
                <w:color w:val="000000"/>
              </w:rPr>
              <w:t>Generate a function for the real world model.</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9810F3" w:rsidRDefault="00FB6933" w:rsidP="00FB6933">
            <w:pPr>
              <w:autoSpaceDE w:val="0"/>
              <w:autoSpaceDN w:val="0"/>
              <w:adjustRightInd w:val="0"/>
            </w:pPr>
            <w:r>
              <w:t xml:space="preserve">This task challenges students to understand the construction of a three-step staircase with squares. Students are shown each step at a time and asked the number of steps in each staircase and the total number of squares used to build each stage of the three-step staircase. Using color tiles, students are able to concretely build the stages of the three-step staircase and to answer the question for each stage - the number of squares needed to build each step and each stage. At the end of the class discussion, students either discuss or dictate a summary response to the question, “Tell me how you know.”  </w:t>
            </w:r>
            <w:r w:rsidR="009810F3">
              <w:t>(Levels A – C)</w:t>
            </w:r>
          </w:p>
          <w:p w:rsidR="00FB6933" w:rsidRDefault="00FB6933" w:rsidP="00FB6933">
            <w:pPr>
              <w:autoSpaceDE w:val="0"/>
              <w:autoSpaceDN w:val="0"/>
              <w:adjustRightInd w:val="0"/>
            </w:pPr>
            <w:r>
              <w:lastRenderedPageBreak/>
              <w:t>This activity is then extended to students creating a possible “growth function” which students can work collaborative groups to ascertain and then meet back up to peer test their solutions and discuss functional notation and equivalence.</w:t>
            </w:r>
            <w:r w:rsidR="009810F3">
              <w:t xml:space="preserve"> (</w:t>
            </w:r>
            <w:r w:rsidR="00BC4023">
              <w:t>Levels D-E)</w:t>
            </w:r>
          </w:p>
          <w:p w:rsidR="006D43BE" w:rsidRPr="00A72546" w:rsidRDefault="006D43BE" w:rsidP="000572E9">
            <w:pPr>
              <w:autoSpaceDE w:val="0"/>
              <w:autoSpaceDN w:val="0"/>
              <w:adjustRightInd w:val="0"/>
              <w:spacing w:before="240"/>
              <w:rPr>
                <w:rFonts w:cstheme="minorHAnsi"/>
              </w:rPr>
            </w:pPr>
            <w:r w:rsidRPr="00A72546">
              <w:rPr>
                <w:rFonts w:cstheme="minorHAnsi"/>
              </w:rPr>
              <w:t xml:space="preserve">Activity Link: </w:t>
            </w:r>
            <w:hyperlink r:id="rId7" w:history="1">
              <w:r w:rsidR="009810F3">
                <w:rPr>
                  <w:rStyle w:val="Hyperlink"/>
                </w:rPr>
                <w:t>https://www.beasleyac.org/ourpages/auto/2015/12/4/50861789/December%202015%20Problem%20of%20the%20Month%207th%20Grade.pdf</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296A16">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397198" w:rsidRPr="00083A90" w:rsidRDefault="00A82988" w:rsidP="00083A90">
            <w:pPr>
              <w:rPr>
                <w:rFonts w:ascii="Arial" w:hAnsi="Arial" w:cs="Arial"/>
                <w:b/>
              </w:rPr>
            </w:pPr>
            <w:r w:rsidRPr="00A82988">
              <w:rPr>
                <w:rFonts w:ascii="Arial" w:hAnsi="Arial" w:cs="Arial"/>
                <w:b/>
              </w:rPr>
              <w:t>EL Accommodations:</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6078AB" w:rsidRDefault="00D938B7" w:rsidP="006078AB">
            <w:pPr>
              <w:pStyle w:val="ListParagraph"/>
              <w:numPr>
                <w:ilvl w:val="0"/>
                <w:numId w:val="11"/>
              </w:numPr>
              <w:ind w:left="330"/>
              <w:rPr>
                <w:rFonts w:cstheme="minorHAnsi"/>
              </w:rPr>
            </w:pPr>
            <w:r>
              <w:rPr>
                <w:rFonts w:cstheme="minorHAnsi"/>
              </w:rPr>
              <w:t>Discourse strategies</w:t>
            </w:r>
            <w:r w:rsidR="00397198">
              <w:rPr>
                <w:rFonts w:cstheme="minorHAnsi"/>
              </w:rPr>
              <w:t>.</w:t>
            </w:r>
          </w:p>
          <w:p w:rsidR="006078AB" w:rsidRPr="006078AB" w:rsidRDefault="006078AB" w:rsidP="006078AB">
            <w:pPr>
              <w:pStyle w:val="ListParagraph"/>
              <w:numPr>
                <w:ilvl w:val="0"/>
                <w:numId w:val="11"/>
              </w:numPr>
              <w:ind w:left="330"/>
              <w:rPr>
                <w:rFonts w:cstheme="minorHAnsi"/>
              </w:rPr>
            </w:pPr>
            <w:r>
              <w:rPr>
                <w:rFonts w:cstheme="minorHAnsi"/>
              </w:rPr>
              <w:t>Reading and writing prompts.</w:t>
            </w:r>
          </w:p>
          <w:p w:rsidR="00083A90" w:rsidRDefault="00083A90" w:rsidP="00083A90">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938B7" w:rsidRDefault="00083A90" w:rsidP="00083A90">
            <w:pPr>
              <w:pStyle w:val="ListParagraph"/>
              <w:numPr>
                <w:ilvl w:val="0"/>
                <w:numId w:val="11"/>
              </w:numPr>
              <w:spacing w:after="160"/>
              <w:ind w:left="330"/>
              <w:rPr>
                <w:rFonts w:cstheme="minorHAnsi"/>
              </w:rPr>
            </w:pPr>
            <w:r>
              <w:rPr>
                <w:rFonts w:ascii="Calibri" w:hAnsi="Calibri" w:cs="Calibri"/>
              </w:rPr>
              <w:t>Provide a vocabulary list.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lastRenderedPageBreak/>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810F3"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p w:rsidR="009810F3" w:rsidRPr="009810F3" w:rsidRDefault="009810F3" w:rsidP="00951DB4">
            <w:pPr>
              <w:pStyle w:val="ListParagraph"/>
              <w:numPr>
                <w:ilvl w:val="0"/>
                <w:numId w:val="6"/>
              </w:numPr>
              <w:spacing w:after="160"/>
              <w:ind w:left="330"/>
              <w:rPr>
                <w:rFonts w:cstheme="minorHAnsi"/>
                <w:b/>
              </w:rPr>
            </w:pPr>
            <w:r>
              <w:rPr>
                <w:rFonts w:cstheme="minorHAnsi"/>
                <w:color w:val="000000"/>
                <w:shd w:val="clear" w:color="auto" w:fill="FFFFFF"/>
              </w:rPr>
              <w:t>Geometry</w:t>
            </w:r>
          </w:p>
          <w:p w:rsidR="009810F3" w:rsidRPr="009810F3" w:rsidRDefault="009810F3" w:rsidP="00951DB4">
            <w:pPr>
              <w:pStyle w:val="ListParagraph"/>
              <w:numPr>
                <w:ilvl w:val="0"/>
                <w:numId w:val="6"/>
              </w:numPr>
              <w:spacing w:after="160"/>
              <w:ind w:left="330"/>
              <w:rPr>
                <w:rFonts w:cstheme="minorHAnsi"/>
                <w:b/>
              </w:rPr>
            </w:pPr>
            <w:r>
              <w:rPr>
                <w:rFonts w:cstheme="minorHAnsi"/>
                <w:color w:val="000000"/>
                <w:shd w:val="clear" w:color="auto" w:fill="FFFFFF"/>
              </w:rPr>
              <w:t>Staircase</w:t>
            </w:r>
          </w:p>
          <w:p w:rsidR="009810F3" w:rsidRPr="00951DB4" w:rsidRDefault="009810F3" w:rsidP="00951DB4">
            <w:pPr>
              <w:pStyle w:val="ListParagraph"/>
              <w:numPr>
                <w:ilvl w:val="0"/>
                <w:numId w:val="6"/>
              </w:numPr>
              <w:spacing w:after="160"/>
              <w:ind w:left="330"/>
              <w:rPr>
                <w:rFonts w:cstheme="minorHAnsi"/>
                <w:b/>
              </w:rPr>
            </w:pPr>
            <w:r>
              <w:rPr>
                <w:rFonts w:cstheme="minorHAnsi"/>
                <w:color w:val="000000"/>
                <w:shd w:val="clear" w:color="auto" w:fill="FFFFFF"/>
              </w:rPr>
              <w:t>Equivalence</w:t>
            </w:r>
          </w:p>
        </w:tc>
        <w:tc>
          <w:tcPr>
            <w:tcW w:w="2638" w:type="dxa"/>
            <w:gridSpan w:val="3"/>
          </w:tcPr>
          <w:p w:rsidR="00CB2743" w:rsidRDefault="00CB2743">
            <w:pPr>
              <w:rPr>
                <w:rFonts w:ascii="Arial" w:hAnsi="Arial" w:cs="Arial"/>
                <w:b/>
              </w:rPr>
            </w:pPr>
            <w:r w:rsidRPr="00A82988">
              <w:rPr>
                <w:rFonts w:ascii="Arial" w:hAnsi="Arial" w:cs="Arial"/>
                <w:b/>
              </w:rPr>
              <w:lastRenderedPageBreak/>
              <w:t>Aligned Resources</w:t>
            </w:r>
            <w:r w:rsidR="00A82988" w:rsidRPr="00A82988">
              <w:rPr>
                <w:rFonts w:ascii="Arial" w:hAnsi="Arial" w:cs="Arial"/>
                <w:b/>
              </w:rPr>
              <w:t>:</w:t>
            </w:r>
          </w:p>
          <w:p w:rsidR="000572E9" w:rsidRPr="009810F3" w:rsidRDefault="00083A90" w:rsidP="00065191">
            <w:pPr>
              <w:pStyle w:val="ListParagraph"/>
              <w:numPr>
                <w:ilvl w:val="0"/>
                <w:numId w:val="1"/>
              </w:numPr>
              <w:rPr>
                <w:rStyle w:val="Hyperlink"/>
                <w:rFonts w:cstheme="minorHAnsi"/>
                <w:color w:val="auto"/>
                <w:u w:val="none"/>
              </w:rPr>
            </w:pPr>
            <w:r>
              <w:rPr>
                <w:rFonts w:cstheme="minorHAnsi"/>
                <w:b/>
              </w:rPr>
              <w:t>Lesson</w:t>
            </w:r>
            <w:r w:rsidR="009810F3">
              <w:rPr>
                <w:rFonts w:cstheme="minorHAnsi"/>
                <w:b/>
              </w:rPr>
              <w:t xml:space="preserve"> PDF:</w:t>
            </w:r>
          </w:p>
          <w:p w:rsidR="00C17B94" w:rsidRPr="00C17B94" w:rsidRDefault="00C17B94" w:rsidP="00C17B94">
            <w:pPr>
              <w:pStyle w:val="ListParagraph"/>
              <w:ind w:left="360"/>
              <w:rPr>
                <w:rStyle w:val="Hyperlink"/>
                <w:rFonts w:cstheme="minorHAnsi"/>
                <w:b/>
                <w:color w:val="auto"/>
                <w:u w:val="none"/>
              </w:rPr>
            </w:pPr>
            <w:hyperlink r:id="rId8" w:history="1">
              <w:r>
                <w:rPr>
                  <w:rStyle w:val="Hyperlink"/>
                </w:rPr>
                <w:t>https://www.beasleyac.org/ourpages/auto/2015/12/4/50861789/December%202015%20Problem%20of%20the%20Month%207th%20Grade.pdf</w:t>
              </w:r>
            </w:hyperlink>
          </w:p>
          <w:p w:rsidR="006D43BE" w:rsidRDefault="00083A90" w:rsidP="006D43BE">
            <w:pPr>
              <w:pStyle w:val="ListParagraph"/>
              <w:numPr>
                <w:ilvl w:val="0"/>
                <w:numId w:val="1"/>
              </w:numPr>
              <w:rPr>
                <w:rFonts w:cstheme="minorHAnsi"/>
                <w:b/>
              </w:rPr>
            </w:pPr>
            <w:r>
              <w:rPr>
                <w:rFonts w:cstheme="minorHAnsi"/>
                <w:b/>
              </w:rPr>
              <w:t>Lesson Slide Set</w:t>
            </w:r>
            <w:r w:rsidR="006D43BE" w:rsidRPr="00951DB4">
              <w:rPr>
                <w:rFonts w:cstheme="minorHAnsi"/>
                <w:b/>
              </w:rPr>
              <w:t>:</w:t>
            </w:r>
          </w:p>
          <w:p w:rsidR="00BC4023" w:rsidRDefault="00BC4023" w:rsidP="00BC4023">
            <w:pPr>
              <w:pStyle w:val="ListParagraph"/>
              <w:ind w:left="360"/>
              <w:rPr>
                <w:rFonts w:cstheme="minorHAnsi"/>
                <w:b/>
              </w:rPr>
            </w:pPr>
            <w:r w:rsidRPr="009810F3">
              <w:t>n/a</w:t>
            </w:r>
          </w:p>
          <w:p w:rsidR="00BC4023" w:rsidRPr="00951DB4" w:rsidRDefault="00BC4023" w:rsidP="006D43BE">
            <w:pPr>
              <w:pStyle w:val="ListParagraph"/>
              <w:numPr>
                <w:ilvl w:val="0"/>
                <w:numId w:val="1"/>
              </w:numPr>
              <w:rPr>
                <w:rFonts w:cstheme="minorHAnsi"/>
                <w:b/>
              </w:rPr>
            </w:pPr>
            <w:r>
              <w:rPr>
                <w:rFonts w:cstheme="minorHAnsi"/>
                <w:b/>
              </w:rPr>
              <w:t>DTMC Exploration Supplement:</w:t>
            </w:r>
          </w:p>
          <w:p w:rsidR="00083A90" w:rsidRDefault="00A7361F" w:rsidP="009810F3">
            <w:pPr>
              <w:pStyle w:val="ListParagraph"/>
              <w:ind w:left="360"/>
            </w:pPr>
            <w:hyperlink r:id="rId9" w:anchor="slide=id.p" w:history="1">
              <w:r w:rsidR="00BC4023" w:rsidRPr="005D6F38">
                <w:rPr>
                  <w:rStyle w:val="Hyperlink"/>
                </w:rPr>
                <w:t>https://docs.google.com/presentation/d/1VyL6T17ygQe_C9rcADVPCFSJQo41kmmzMOYME76Ky88/edit#slide=id.p</w:t>
              </w:r>
            </w:hyperlink>
          </w:p>
          <w:p w:rsidR="00BC4023" w:rsidRPr="009810F3" w:rsidRDefault="00BC4023" w:rsidP="009810F3">
            <w:pPr>
              <w:pStyle w:val="ListParagraph"/>
              <w:ind w:left="360"/>
              <w:rPr>
                <w:rFonts w:cstheme="minorHAnsi"/>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3D263F" w:rsidRPr="003D263F">
              <w:rPr>
                <w:rFonts w:cstheme="minorHAnsi"/>
                <w:sz w:val="24"/>
                <w:szCs w:val="24"/>
              </w:rPr>
              <w:t>A</w:t>
            </w:r>
            <w:r w:rsidR="009810F3">
              <w:rPr>
                <w:rFonts w:cstheme="minorHAnsi"/>
                <w:sz w:val="24"/>
                <w:szCs w:val="24"/>
              </w:rPr>
              <w:t>nal</w:t>
            </w:r>
            <w:r w:rsidR="006078AB">
              <w:rPr>
                <w:rFonts w:cstheme="minorHAnsi"/>
                <w:sz w:val="24"/>
                <w:szCs w:val="24"/>
              </w:rPr>
              <w:t>y</w:t>
            </w:r>
            <w:r w:rsidR="009810F3">
              <w:rPr>
                <w:rFonts w:cstheme="minorHAnsi"/>
                <w:sz w:val="24"/>
                <w:szCs w:val="24"/>
              </w:rPr>
              <w:t>ze</w:t>
            </w:r>
          </w:p>
          <w:p w:rsidR="00A82988" w:rsidRPr="00951DB4" w:rsidRDefault="00A82988" w:rsidP="003D263F">
            <w:pPr>
              <w:spacing w:before="240"/>
              <w:rPr>
                <w:rFonts w:ascii="Arial" w:hAnsi="Arial" w:cs="Arial"/>
                <w:b/>
                <w:sz w:val="24"/>
                <w:szCs w:val="24"/>
              </w:rPr>
            </w:pPr>
            <w:r w:rsidRPr="00E303D9">
              <w:rPr>
                <w:rFonts w:ascii="Arial" w:hAnsi="Arial" w:cs="Arial"/>
                <w:b/>
              </w:rPr>
              <w:lastRenderedPageBreak/>
              <w:t>DOK:</w:t>
            </w:r>
            <w:r w:rsidR="003D263F">
              <w:rPr>
                <w:rFonts w:ascii="Arial" w:hAnsi="Arial" w:cs="Arial"/>
                <w:b/>
                <w:sz w:val="24"/>
                <w:szCs w:val="24"/>
              </w:rPr>
              <w:t xml:space="preserve">  </w:t>
            </w:r>
            <w:r w:rsidR="00BC402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AA71C1" w:rsidP="002C18E0">
            <w:r>
              <w:t>Open Exploration Activity (Ongoing Formative Assessment)</w:t>
            </w:r>
            <w:r w:rsidR="00296E5B">
              <w:t>.</w:t>
            </w:r>
          </w:p>
          <w:p w:rsidR="00C6158A" w:rsidRDefault="00C6158A" w:rsidP="002C18E0"/>
          <w:p w:rsidR="00AA71C1" w:rsidRDefault="00AA71C1" w:rsidP="002C18E0">
            <w:pPr>
              <w:rPr>
                <w:noProof/>
              </w:rPr>
            </w:pPr>
            <w:r w:rsidRPr="00AA71C1">
              <w:rPr>
                <w:noProof/>
              </w:rPr>
              <w:drawing>
                <wp:inline distT="0" distB="0" distL="0" distR="0" wp14:anchorId="5BE23E87" wp14:editId="4F2C46F6">
                  <wp:extent cx="2528773" cy="3724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3873" cy="3746514"/>
                          </a:xfrm>
                          <a:prstGeom prst="rect">
                            <a:avLst/>
                          </a:prstGeom>
                        </pic:spPr>
                      </pic:pic>
                    </a:graphicData>
                  </a:graphic>
                </wp:inline>
              </w:drawing>
            </w:r>
            <w:r w:rsidR="00BC4023">
              <w:rPr>
                <w:noProof/>
              </w:rPr>
              <w:t xml:space="preserve"> </w:t>
            </w:r>
            <w:r w:rsidR="00BC4023" w:rsidRPr="00BC4023">
              <w:rPr>
                <w:noProof/>
              </w:rPr>
              <w:drawing>
                <wp:inline distT="0" distB="0" distL="0" distR="0" wp14:anchorId="0734F492" wp14:editId="3CB72FAB">
                  <wp:extent cx="2604387" cy="3714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9890" cy="3779653"/>
                          </a:xfrm>
                          <a:prstGeom prst="rect">
                            <a:avLst/>
                          </a:prstGeom>
                        </pic:spPr>
                      </pic:pic>
                    </a:graphicData>
                  </a:graphic>
                </wp:inline>
              </w:drawing>
            </w:r>
          </w:p>
          <w:p w:rsidR="00AA71C1" w:rsidRDefault="00AA71C1" w:rsidP="002C18E0"/>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1F" w:rsidRDefault="00A7361F" w:rsidP="00A82988">
      <w:pPr>
        <w:spacing w:after="0" w:line="240" w:lineRule="auto"/>
      </w:pPr>
      <w:r>
        <w:separator/>
      </w:r>
    </w:p>
  </w:endnote>
  <w:endnote w:type="continuationSeparator" w:id="0">
    <w:p w:rsidR="00A7361F" w:rsidRDefault="00A7361F"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1F" w:rsidRDefault="00A7361F" w:rsidP="00A82988">
      <w:pPr>
        <w:spacing w:after="0" w:line="240" w:lineRule="auto"/>
      </w:pPr>
      <w:r>
        <w:separator/>
      </w:r>
    </w:p>
  </w:footnote>
  <w:footnote w:type="continuationSeparator" w:id="0">
    <w:p w:rsidR="00A7361F" w:rsidRDefault="00A7361F"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0380F" w:rsidRPr="0080380F">
      <w:rPr>
        <w:rFonts w:ascii="Arial" w:hAnsi="Arial" w:cs="Arial"/>
        <w:color w:val="000000" w:themeColor="text1"/>
      </w:rPr>
      <w:t>Linear and Exponential</w:t>
    </w:r>
    <w:r w:rsidR="0080380F">
      <w:rPr>
        <w:rFonts w:ascii="Arial" w:hAnsi="Arial" w:cs="Arial"/>
        <w:b/>
        <w:color w:val="000000" w:themeColor="text1"/>
      </w:rPr>
      <w:t xml:space="preserve"> </w:t>
    </w:r>
    <w:r w:rsidR="0080380F">
      <w:rPr>
        <w:rFonts w:ascii="Arial" w:hAnsi="Arial" w:cs="Arial"/>
        <w:color w:val="000000" w:themeColor="text1"/>
      </w:rPr>
      <w:t>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80380F">
      <w:rPr>
        <w:rFonts w:ascii="Arial" w:hAnsi="Arial" w:cs="Arial"/>
        <w:b/>
        <w:color w:val="000000" w:themeColor="text1"/>
      </w:rPr>
      <w:t>5</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500650">
      <w:rPr>
        <w:rFonts w:ascii="Arial" w:hAnsi="Arial" w:cs="Arial"/>
        <w:color w:val="000000"/>
        <w:shd w:val="clear" w:color="auto" w:fill="FFFFFF"/>
      </w:rPr>
      <w:t>Growing Staircases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0CA1"/>
    <w:multiLevelType w:val="hybridMultilevel"/>
    <w:tmpl w:val="121646F4"/>
    <w:lvl w:ilvl="0" w:tplc="6D2EEE42">
      <w:start w:val="5"/>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6"/>
  </w:num>
  <w:num w:numId="6">
    <w:abstractNumId w:val="11"/>
  </w:num>
  <w:num w:numId="7">
    <w:abstractNumId w:val="14"/>
  </w:num>
  <w:num w:numId="8">
    <w:abstractNumId w:val="1"/>
  </w:num>
  <w:num w:numId="9">
    <w:abstractNumId w:val="2"/>
  </w:num>
  <w:num w:numId="10">
    <w:abstractNumId w:val="10"/>
  </w:num>
  <w:num w:numId="11">
    <w:abstractNumId w:val="18"/>
  </w:num>
  <w:num w:numId="12">
    <w:abstractNumId w:val="8"/>
  </w:num>
  <w:num w:numId="13">
    <w:abstractNumId w:val="4"/>
  </w:num>
  <w:num w:numId="14">
    <w:abstractNumId w:val="16"/>
  </w:num>
  <w:num w:numId="15">
    <w:abstractNumId w:val="19"/>
  </w:num>
  <w:num w:numId="16">
    <w:abstractNumId w:val="0"/>
  </w:num>
  <w:num w:numId="17">
    <w:abstractNumId w:val="9"/>
  </w:num>
  <w:num w:numId="18">
    <w:abstractNumId w:val="7"/>
  </w:num>
  <w:num w:numId="19">
    <w:abstractNumId w:val="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23BD"/>
    <w:rsid w:val="00083A90"/>
    <w:rsid w:val="000C0C1F"/>
    <w:rsid w:val="000D4A1A"/>
    <w:rsid w:val="0016044C"/>
    <w:rsid w:val="001A2340"/>
    <w:rsid w:val="001A7A44"/>
    <w:rsid w:val="001D5BC5"/>
    <w:rsid w:val="002235CC"/>
    <w:rsid w:val="00254D20"/>
    <w:rsid w:val="00296A16"/>
    <w:rsid w:val="00296E5B"/>
    <w:rsid w:val="002B0B58"/>
    <w:rsid w:val="002B244C"/>
    <w:rsid w:val="002C18E0"/>
    <w:rsid w:val="002C6F9D"/>
    <w:rsid w:val="003118B8"/>
    <w:rsid w:val="00346B3E"/>
    <w:rsid w:val="003713E2"/>
    <w:rsid w:val="00397198"/>
    <w:rsid w:val="003B3E5B"/>
    <w:rsid w:val="003D263F"/>
    <w:rsid w:val="004A2D6F"/>
    <w:rsid w:val="004B26DD"/>
    <w:rsid w:val="004F4115"/>
    <w:rsid w:val="00500650"/>
    <w:rsid w:val="00503371"/>
    <w:rsid w:val="00507939"/>
    <w:rsid w:val="00522D17"/>
    <w:rsid w:val="00525BAC"/>
    <w:rsid w:val="006078AB"/>
    <w:rsid w:val="00635D1E"/>
    <w:rsid w:val="00656030"/>
    <w:rsid w:val="006656F0"/>
    <w:rsid w:val="00673AA6"/>
    <w:rsid w:val="006A3CCC"/>
    <w:rsid w:val="006A3CD5"/>
    <w:rsid w:val="006B3F55"/>
    <w:rsid w:val="006C256E"/>
    <w:rsid w:val="006D43BE"/>
    <w:rsid w:val="007D6D4A"/>
    <w:rsid w:val="0080380F"/>
    <w:rsid w:val="00824CD7"/>
    <w:rsid w:val="0084677D"/>
    <w:rsid w:val="008622C2"/>
    <w:rsid w:val="008C1319"/>
    <w:rsid w:val="008D61FD"/>
    <w:rsid w:val="008E73E9"/>
    <w:rsid w:val="00914AD9"/>
    <w:rsid w:val="009211A3"/>
    <w:rsid w:val="00922CC1"/>
    <w:rsid w:val="00933B23"/>
    <w:rsid w:val="00937465"/>
    <w:rsid w:val="00951DB4"/>
    <w:rsid w:val="0097350C"/>
    <w:rsid w:val="009810F3"/>
    <w:rsid w:val="009A662C"/>
    <w:rsid w:val="009A7DF6"/>
    <w:rsid w:val="009C10AB"/>
    <w:rsid w:val="009E5817"/>
    <w:rsid w:val="009F6707"/>
    <w:rsid w:val="00A06385"/>
    <w:rsid w:val="00A32A56"/>
    <w:rsid w:val="00A501A9"/>
    <w:rsid w:val="00A67513"/>
    <w:rsid w:val="00A72546"/>
    <w:rsid w:val="00A7361F"/>
    <w:rsid w:val="00A82988"/>
    <w:rsid w:val="00AA71C1"/>
    <w:rsid w:val="00AC4AE9"/>
    <w:rsid w:val="00AC6047"/>
    <w:rsid w:val="00AE48C2"/>
    <w:rsid w:val="00AF0585"/>
    <w:rsid w:val="00B06C25"/>
    <w:rsid w:val="00B46403"/>
    <w:rsid w:val="00B61424"/>
    <w:rsid w:val="00B91623"/>
    <w:rsid w:val="00BB125E"/>
    <w:rsid w:val="00BC4023"/>
    <w:rsid w:val="00BE56A2"/>
    <w:rsid w:val="00C17B94"/>
    <w:rsid w:val="00C5765B"/>
    <w:rsid w:val="00C6158A"/>
    <w:rsid w:val="00C91876"/>
    <w:rsid w:val="00CB2743"/>
    <w:rsid w:val="00D61CE3"/>
    <w:rsid w:val="00D67B57"/>
    <w:rsid w:val="00D90C75"/>
    <w:rsid w:val="00D938B7"/>
    <w:rsid w:val="00DB3E21"/>
    <w:rsid w:val="00DD6048"/>
    <w:rsid w:val="00E303D9"/>
    <w:rsid w:val="00E42323"/>
    <w:rsid w:val="00E56DD7"/>
    <w:rsid w:val="00E67291"/>
    <w:rsid w:val="00E90C52"/>
    <w:rsid w:val="00EA00C3"/>
    <w:rsid w:val="00EB5D9D"/>
    <w:rsid w:val="00F178B5"/>
    <w:rsid w:val="00F72631"/>
    <w:rsid w:val="00F80E19"/>
    <w:rsid w:val="00F9420B"/>
    <w:rsid w:val="00FA2101"/>
    <w:rsid w:val="00FB6933"/>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sleyac.org/ourpages/auto/2015/12/4/50861789/December%202015%20Problem%20of%20the%20Month%207th%20Gra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sleyac.org/ourpages/auto/2015/12/4/50861789/December%202015%20Problem%20of%20the%20Month%207th%20Grad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presentation/d/1VyL6T17ygQe_C9rcADVPCFSJQo41kmmzMOYME76Ky88/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11</cp:revision>
  <dcterms:created xsi:type="dcterms:W3CDTF">2020-01-28T20:11:00Z</dcterms:created>
  <dcterms:modified xsi:type="dcterms:W3CDTF">2020-01-30T14:47:00Z</dcterms:modified>
</cp:coreProperties>
</file>